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4E2C8" w14:textId="77777777" w:rsidR="00892BC6" w:rsidRPr="00712ED2" w:rsidRDefault="00892BC6" w:rsidP="00892BC6">
      <w:pPr>
        <w:spacing w:before="0" w:beforeAutospacing="0" w:after="0" w:afterAutospacing="0" w:line="240" w:lineRule="auto"/>
        <w:jc w:val="center"/>
        <w:rPr>
          <w:rFonts w:asciiTheme="majorBidi" w:hAnsiTheme="majorBidi" w:cstheme="majorBidi"/>
          <w:b/>
          <w:bCs/>
          <w:sz w:val="22"/>
          <w:szCs w:val="22"/>
        </w:rPr>
      </w:pPr>
      <w:r w:rsidRPr="00712ED2">
        <w:rPr>
          <w:rFonts w:asciiTheme="majorBidi" w:hAnsiTheme="majorBidi" w:cstheme="majorBidi"/>
          <w:b/>
          <w:bCs/>
          <w:sz w:val="22"/>
          <w:szCs w:val="22"/>
        </w:rPr>
        <w:t>MEMILIH HUKUMAN DI DALAM HUKUM PIDANA DI INDONESIA</w:t>
      </w:r>
    </w:p>
    <w:p w14:paraId="10ECCC6E" w14:textId="06688C19" w:rsidR="00892BC6" w:rsidRPr="00712ED2" w:rsidRDefault="00892BC6" w:rsidP="00892BC6">
      <w:pPr>
        <w:spacing w:before="0" w:beforeAutospacing="0" w:after="0" w:afterAutospacing="0" w:line="240" w:lineRule="auto"/>
        <w:jc w:val="center"/>
        <w:rPr>
          <w:rFonts w:asciiTheme="majorBidi" w:hAnsiTheme="majorBidi" w:cstheme="majorBidi"/>
          <w:b/>
          <w:bCs/>
          <w:sz w:val="22"/>
          <w:szCs w:val="22"/>
        </w:rPr>
      </w:pPr>
      <w:r w:rsidRPr="00712ED2">
        <w:rPr>
          <w:rFonts w:asciiTheme="majorBidi" w:hAnsiTheme="majorBidi" w:cstheme="majorBidi"/>
          <w:b/>
          <w:bCs/>
          <w:sz w:val="22"/>
          <w:szCs w:val="22"/>
        </w:rPr>
        <w:t>(</w:t>
      </w:r>
      <w:r w:rsidRPr="00712ED2">
        <w:rPr>
          <w:rFonts w:asciiTheme="majorBidi" w:hAnsiTheme="majorBidi" w:cstheme="majorBidi"/>
          <w:b/>
          <w:bCs/>
          <w:sz w:val="22"/>
          <w:szCs w:val="22"/>
          <w:lang w:val="en-US"/>
        </w:rPr>
        <w:t>A</w:t>
      </w:r>
      <w:r w:rsidRPr="00712ED2">
        <w:rPr>
          <w:rFonts w:asciiTheme="majorBidi" w:hAnsiTheme="majorBidi" w:cstheme="majorBidi"/>
          <w:b/>
          <w:bCs/>
          <w:sz w:val="22"/>
          <w:szCs w:val="22"/>
        </w:rPr>
        <w:t xml:space="preserve">nalisis </w:t>
      </w:r>
      <w:r w:rsidRPr="00712ED2">
        <w:rPr>
          <w:rFonts w:asciiTheme="majorBidi" w:hAnsiTheme="majorBidi" w:cstheme="majorBidi"/>
          <w:b/>
          <w:bCs/>
          <w:sz w:val="22"/>
          <w:szCs w:val="22"/>
          <w:lang w:val="en-US"/>
        </w:rPr>
        <w:t>T</w:t>
      </w:r>
      <w:r w:rsidRPr="00712ED2">
        <w:rPr>
          <w:rFonts w:asciiTheme="majorBidi" w:hAnsiTheme="majorBidi" w:cstheme="majorBidi"/>
          <w:b/>
          <w:bCs/>
          <w:sz w:val="22"/>
          <w:szCs w:val="22"/>
        </w:rPr>
        <w:t xml:space="preserve">erhadap </w:t>
      </w:r>
      <w:r w:rsidRPr="00712ED2">
        <w:rPr>
          <w:rFonts w:asciiTheme="majorBidi" w:hAnsiTheme="majorBidi" w:cstheme="majorBidi"/>
          <w:b/>
          <w:bCs/>
          <w:sz w:val="22"/>
          <w:szCs w:val="22"/>
          <w:lang w:val="en-US"/>
        </w:rPr>
        <w:t>P</w:t>
      </w:r>
      <w:r w:rsidRPr="00712ED2">
        <w:rPr>
          <w:rFonts w:asciiTheme="majorBidi" w:hAnsiTheme="majorBidi" w:cstheme="majorBidi"/>
          <w:b/>
          <w:bCs/>
          <w:sz w:val="22"/>
          <w:szCs w:val="22"/>
        </w:rPr>
        <w:t xml:space="preserve">enundukan </w:t>
      </w:r>
      <w:r w:rsidRPr="00712ED2">
        <w:rPr>
          <w:rFonts w:asciiTheme="majorBidi" w:hAnsiTheme="majorBidi" w:cstheme="majorBidi"/>
          <w:b/>
          <w:bCs/>
          <w:sz w:val="22"/>
          <w:szCs w:val="22"/>
          <w:lang w:val="en-US"/>
        </w:rPr>
        <w:t>Di</w:t>
      </w:r>
      <w:r w:rsidRPr="00712ED2">
        <w:rPr>
          <w:rFonts w:asciiTheme="majorBidi" w:hAnsiTheme="majorBidi" w:cstheme="majorBidi"/>
          <w:b/>
          <w:bCs/>
          <w:sz w:val="22"/>
          <w:szCs w:val="22"/>
        </w:rPr>
        <w:t>ri non</w:t>
      </w:r>
      <w:r w:rsidRPr="00712ED2">
        <w:rPr>
          <w:rFonts w:asciiTheme="majorBidi" w:hAnsiTheme="majorBidi" w:cstheme="majorBidi"/>
          <w:b/>
          <w:bCs/>
          <w:sz w:val="22"/>
          <w:szCs w:val="22"/>
          <w:lang w:val="en-US"/>
        </w:rPr>
        <w:t>-</w:t>
      </w:r>
      <w:r w:rsidR="00053E82" w:rsidRPr="00712ED2">
        <w:rPr>
          <w:rFonts w:asciiTheme="majorBidi" w:hAnsiTheme="majorBidi" w:cstheme="majorBidi"/>
          <w:b/>
          <w:bCs/>
          <w:sz w:val="22"/>
          <w:szCs w:val="22"/>
          <w:lang w:val="en-US"/>
        </w:rPr>
        <w:t>M</w:t>
      </w:r>
      <w:r w:rsidRPr="00712ED2">
        <w:rPr>
          <w:rFonts w:asciiTheme="majorBidi" w:hAnsiTheme="majorBidi" w:cstheme="majorBidi"/>
          <w:b/>
          <w:bCs/>
          <w:sz w:val="22"/>
          <w:szCs w:val="22"/>
        </w:rPr>
        <w:t>uslim di dalam Qanun Jinayat Provinsi  Aceh)</w:t>
      </w:r>
    </w:p>
    <w:p w14:paraId="4D9661DB" w14:textId="77777777" w:rsidR="00892BC6" w:rsidRPr="00712ED2" w:rsidRDefault="00892BC6" w:rsidP="00525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jc w:val="center"/>
        <w:rPr>
          <w:rFonts w:asciiTheme="majorBidi" w:hAnsiTheme="majorBidi" w:cstheme="majorBidi"/>
          <w:b/>
          <w:bCs/>
          <w:i/>
          <w:iCs/>
          <w:color w:val="202124"/>
          <w:sz w:val="22"/>
          <w:szCs w:val="22"/>
          <w:lang w:val="en" w:eastAsia="en-ID"/>
        </w:rPr>
      </w:pPr>
    </w:p>
    <w:p w14:paraId="4E8E1E4E" w14:textId="1B209F92" w:rsidR="00FE7BBA" w:rsidRPr="00712ED2" w:rsidRDefault="00FE7BBA" w:rsidP="00525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jc w:val="center"/>
        <w:rPr>
          <w:rFonts w:asciiTheme="majorBidi" w:hAnsiTheme="majorBidi" w:cstheme="majorBidi"/>
          <w:b/>
          <w:bCs/>
          <w:i/>
          <w:iCs/>
          <w:color w:val="202124"/>
          <w:sz w:val="22"/>
          <w:szCs w:val="22"/>
          <w:lang w:val="en" w:eastAsia="en-ID"/>
        </w:rPr>
      </w:pPr>
      <w:r w:rsidRPr="00712ED2">
        <w:rPr>
          <w:rFonts w:asciiTheme="majorBidi" w:hAnsiTheme="majorBidi" w:cstheme="majorBidi"/>
          <w:b/>
          <w:bCs/>
          <w:i/>
          <w:iCs/>
          <w:color w:val="202124"/>
          <w:sz w:val="22"/>
          <w:szCs w:val="22"/>
          <w:lang w:val="en" w:eastAsia="en-ID"/>
        </w:rPr>
        <w:t>CHOOSING A PENALTY IN THE CRIMINAL LAW IN INDONESIA</w:t>
      </w:r>
    </w:p>
    <w:p w14:paraId="3D2D7B7D" w14:textId="77777777" w:rsidR="00FE7BBA" w:rsidRPr="00712ED2" w:rsidRDefault="00FE7BBA" w:rsidP="005256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jc w:val="center"/>
        <w:rPr>
          <w:rFonts w:asciiTheme="majorBidi" w:hAnsiTheme="majorBidi" w:cstheme="majorBidi"/>
          <w:b/>
          <w:bCs/>
          <w:color w:val="202124"/>
          <w:sz w:val="22"/>
          <w:szCs w:val="22"/>
          <w:lang w:val="en-ID" w:eastAsia="en-ID"/>
        </w:rPr>
      </w:pPr>
      <w:r w:rsidRPr="00712ED2">
        <w:rPr>
          <w:rFonts w:asciiTheme="majorBidi" w:hAnsiTheme="majorBidi" w:cstheme="majorBidi"/>
          <w:b/>
          <w:bCs/>
          <w:i/>
          <w:iCs/>
          <w:color w:val="202124"/>
          <w:sz w:val="22"/>
          <w:szCs w:val="22"/>
          <w:lang w:val="en" w:eastAsia="en-ID"/>
        </w:rPr>
        <w:t>(Analysis of Non-Muslim Submission in Qanun Jinayat Aceh Province)</w:t>
      </w:r>
    </w:p>
    <w:p w14:paraId="42424A9C" w14:textId="77777777" w:rsidR="00FE7BBA" w:rsidRPr="00712ED2" w:rsidRDefault="00FE7BBA" w:rsidP="005256DF">
      <w:pPr>
        <w:spacing w:before="0" w:beforeAutospacing="0" w:after="0" w:afterAutospacing="0" w:line="240" w:lineRule="auto"/>
        <w:rPr>
          <w:rFonts w:asciiTheme="majorBidi" w:hAnsiTheme="majorBidi" w:cstheme="majorBidi"/>
          <w:b/>
          <w:bCs/>
          <w:sz w:val="22"/>
          <w:szCs w:val="22"/>
          <w:lang w:val="en-ID"/>
        </w:rPr>
      </w:pPr>
    </w:p>
    <w:p w14:paraId="47B0FB60" w14:textId="058F4CF6" w:rsidR="005D069A" w:rsidRPr="00712ED2" w:rsidRDefault="00FE7BBA" w:rsidP="00037D10">
      <w:pPr>
        <w:spacing w:before="0" w:beforeAutospacing="0" w:after="0" w:afterAutospacing="0" w:line="240" w:lineRule="auto"/>
        <w:jc w:val="center"/>
        <w:rPr>
          <w:rFonts w:asciiTheme="majorBidi" w:hAnsiTheme="majorBidi" w:cstheme="majorBidi"/>
          <w:b/>
          <w:bCs/>
          <w:sz w:val="22"/>
          <w:szCs w:val="22"/>
          <w:lang w:val="en-US"/>
        </w:rPr>
      </w:pPr>
      <w:r w:rsidRPr="00712ED2">
        <w:rPr>
          <w:rFonts w:asciiTheme="majorBidi" w:hAnsiTheme="majorBidi" w:cstheme="majorBidi"/>
          <w:b/>
          <w:bCs/>
          <w:sz w:val="22"/>
          <w:szCs w:val="22"/>
          <w:lang w:val="en-US"/>
        </w:rPr>
        <w:t>Mohd. Din</w:t>
      </w:r>
    </w:p>
    <w:p w14:paraId="2019B79B" w14:textId="0F71A754" w:rsidR="003B05CB" w:rsidRPr="00712ED2" w:rsidRDefault="003B05CB" w:rsidP="003B05CB">
      <w:pPr>
        <w:spacing w:before="0" w:beforeAutospacing="0" w:after="0" w:afterAutospacing="0" w:line="240" w:lineRule="auto"/>
        <w:jc w:val="center"/>
        <w:rPr>
          <w:rFonts w:asciiTheme="majorBidi" w:hAnsiTheme="majorBidi" w:cstheme="majorBidi"/>
          <w:b/>
          <w:bCs/>
          <w:sz w:val="22"/>
          <w:szCs w:val="22"/>
          <w:lang w:val="en-US"/>
        </w:rPr>
      </w:pPr>
      <w:r w:rsidRPr="00712ED2">
        <w:rPr>
          <w:rFonts w:asciiTheme="majorBidi" w:hAnsiTheme="majorBidi" w:cstheme="majorBidi"/>
          <w:b/>
          <w:bCs/>
          <w:sz w:val="22"/>
          <w:szCs w:val="22"/>
          <w:lang w:val="en-US"/>
        </w:rPr>
        <w:t>Faculty of Law, Syiah Kuala University, Banda Aceh</w:t>
      </w:r>
    </w:p>
    <w:p w14:paraId="37E71D96" w14:textId="364F9DF7" w:rsidR="003B05CB" w:rsidRPr="00712ED2" w:rsidRDefault="003B05CB" w:rsidP="003B05CB">
      <w:pPr>
        <w:spacing w:before="0" w:beforeAutospacing="0" w:after="0" w:afterAutospacing="0" w:line="240" w:lineRule="auto"/>
        <w:jc w:val="center"/>
        <w:rPr>
          <w:rFonts w:asciiTheme="majorBidi" w:hAnsiTheme="majorBidi" w:cstheme="majorBidi"/>
          <w:b/>
          <w:bCs/>
          <w:sz w:val="22"/>
          <w:szCs w:val="22"/>
          <w:lang w:val="en-US"/>
        </w:rPr>
      </w:pPr>
      <w:r w:rsidRPr="00712ED2">
        <w:rPr>
          <w:rFonts w:asciiTheme="majorBidi" w:hAnsiTheme="majorBidi" w:cstheme="majorBidi"/>
          <w:b/>
          <w:bCs/>
          <w:sz w:val="22"/>
          <w:szCs w:val="22"/>
          <w:lang w:val="en-US"/>
        </w:rPr>
        <w:t xml:space="preserve">email: </w:t>
      </w:r>
      <w:hyperlink r:id="rId8" w:history="1">
        <w:r w:rsidR="004B2FE7" w:rsidRPr="00712ED2">
          <w:rPr>
            <w:rStyle w:val="Hyperlink"/>
            <w:rFonts w:asciiTheme="majorBidi" w:hAnsiTheme="majorBidi" w:cstheme="majorBidi"/>
            <w:b/>
            <w:bCs/>
            <w:sz w:val="22"/>
            <w:szCs w:val="22"/>
            <w:lang w:val="en-US"/>
          </w:rPr>
          <w:t>m</w:t>
        </w:r>
        <w:r w:rsidR="004B2FE7" w:rsidRPr="00712ED2">
          <w:rPr>
            <w:rStyle w:val="Hyperlink"/>
            <w:rFonts w:asciiTheme="majorBidi" w:hAnsiTheme="majorBidi" w:cstheme="majorBidi"/>
            <w:b/>
            <w:bCs/>
            <w:sz w:val="22"/>
            <w:szCs w:val="22"/>
          </w:rPr>
          <w:t>_</w:t>
        </w:r>
        <w:r w:rsidR="004B2FE7" w:rsidRPr="00712ED2">
          <w:rPr>
            <w:rStyle w:val="Hyperlink"/>
            <w:rFonts w:asciiTheme="majorBidi" w:hAnsiTheme="majorBidi" w:cstheme="majorBidi"/>
            <w:b/>
            <w:bCs/>
            <w:sz w:val="22"/>
            <w:szCs w:val="22"/>
            <w:lang w:val="en-US"/>
          </w:rPr>
          <w:t>din@u</w:t>
        </w:r>
        <w:r w:rsidR="004B2FE7" w:rsidRPr="00712ED2">
          <w:rPr>
            <w:rStyle w:val="Hyperlink"/>
            <w:rFonts w:asciiTheme="majorBidi" w:hAnsiTheme="majorBidi" w:cstheme="majorBidi"/>
            <w:b/>
            <w:bCs/>
            <w:sz w:val="22"/>
            <w:szCs w:val="22"/>
          </w:rPr>
          <w:t>sk.</w:t>
        </w:r>
        <w:r w:rsidR="004B2FE7" w:rsidRPr="00712ED2">
          <w:rPr>
            <w:rStyle w:val="Hyperlink"/>
            <w:rFonts w:asciiTheme="majorBidi" w:hAnsiTheme="majorBidi" w:cstheme="majorBidi"/>
            <w:b/>
            <w:bCs/>
            <w:sz w:val="22"/>
            <w:szCs w:val="22"/>
            <w:lang w:val="en-US"/>
          </w:rPr>
          <w:t>ac.id</w:t>
        </w:r>
      </w:hyperlink>
      <w:r w:rsidRPr="00712ED2">
        <w:rPr>
          <w:rFonts w:asciiTheme="majorBidi" w:hAnsiTheme="majorBidi" w:cstheme="majorBidi"/>
          <w:b/>
          <w:bCs/>
          <w:sz w:val="22"/>
          <w:szCs w:val="22"/>
          <w:lang w:val="en-US"/>
        </w:rPr>
        <w:t xml:space="preserve"> </w:t>
      </w:r>
    </w:p>
    <w:p w14:paraId="3A419A45" w14:textId="1523AD63" w:rsidR="003B05CB" w:rsidRPr="00712ED2" w:rsidRDefault="003B05CB" w:rsidP="003B05CB">
      <w:pPr>
        <w:spacing w:before="0" w:beforeAutospacing="0" w:after="0" w:afterAutospacing="0" w:line="240" w:lineRule="auto"/>
        <w:jc w:val="center"/>
        <w:rPr>
          <w:rFonts w:asciiTheme="majorBidi" w:hAnsiTheme="majorBidi" w:cstheme="majorBidi"/>
          <w:b/>
          <w:bCs/>
          <w:sz w:val="22"/>
          <w:szCs w:val="22"/>
          <w:lang w:val="en-US"/>
        </w:rPr>
      </w:pPr>
      <w:r w:rsidRPr="00712ED2">
        <w:rPr>
          <w:rFonts w:asciiTheme="majorBidi" w:hAnsiTheme="majorBidi" w:cstheme="majorBidi"/>
          <w:b/>
          <w:bCs/>
          <w:sz w:val="22"/>
          <w:szCs w:val="22"/>
          <w:lang w:val="en-US"/>
        </w:rPr>
        <w:t>Ali Abubakar</w:t>
      </w:r>
    </w:p>
    <w:p w14:paraId="1049B708" w14:textId="453625D7" w:rsidR="003B05CB" w:rsidRPr="00712ED2" w:rsidRDefault="003B05CB" w:rsidP="003B05CB">
      <w:pPr>
        <w:spacing w:before="0" w:beforeAutospacing="0" w:after="0" w:afterAutospacing="0" w:line="240" w:lineRule="auto"/>
        <w:jc w:val="center"/>
        <w:rPr>
          <w:rFonts w:asciiTheme="majorBidi" w:hAnsiTheme="majorBidi" w:cstheme="majorBidi"/>
          <w:b/>
          <w:bCs/>
          <w:sz w:val="22"/>
          <w:szCs w:val="22"/>
          <w:lang w:val="en-US"/>
        </w:rPr>
      </w:pPr>
      <w:r w:rsidRPr="00712ED2">
        <w:rPr>
          <w:rFonts w:asciiTheme="majorBidi" w:hAnsiTheme="majorBidi" w:cstheme="majorBidi"/>
          <w:b/>
          <w:bCs/>
          <w:sz w:val="22"/>
          <w:szCs w:val="22"/>
          <w:lang w:val="en-US"/>
        </w:rPr>
        <w:t>Shariah and Law Faculty, Ar-Raniry State Islamic University, Banda Aceh</w:t>
      </w:r>
    </w:p>
    <w:p w14:paraId="08B332DF" w14:textId="0ABDBE26" w:rsidR="003B05CB" w:rsidRPr="00712ED2" w:rsidRDefault="003B05CB" w:rsidP="003B05CB">
      <w:pPr>
        <w:spacing w:before="0" w:beforeAutospacing="0" w:after="0" w:afterAutospacing="0" w:line="240" w:lineRule="auto"/>
        <w:jc w:val="center"/>
        <w:rPr>
          <w:rFonts w:asciiTheme="majorBidi" w:hAnsiTheme="majorBidi" w:cstheme="majorBidi"/>
          <w:b/>
          <w:bCs/>
          <w:sz w:val="22"/>
          <w:szCs w:val="22"/>
          <w:lang w:val="en-US"/>
        </w:rPr>
      </w:pPr>
      <w:r w:rsidRPr="00712ED2">
        <w:rPr>
          <w:rFonts w:asciiTheme="majorBidi" w:hAnsiTheme="majorBidi" w:cstheme="majorBidi"/>
          <w:b/>
          <w:bCs/>
          <w:sz w:val="22"/>
          <w:szCs w:val="22"/>
          <w:lang w:val="en-US"/>
        </w:rPr>
        <w:t xml:space="preserve">Email: </w:t>
      </w:r>
      <w:hyperlink r:id="rId9" w:history="1">
        <w:r w:rsidR="00A02C4B" w:rsidRPr="00712ED2">
          <w:rPr>
            <w:rStyle w:val="Hyperlink"/>
            <w:rFonts w:asciiTheme="majorBidi" w:hAnsiTheme="majorBidi" w:cstheme="majorBidi"/>
            <w:b/>
            <w:bCs/>
            <w:sz w:val="22"/>
            <w:szCs w:val="22"/>
            <w:lang w:val="en-US"/>
          </w:rPr>
          <w:t>aliabubakar@ar-raniry.ac.id</w:t>
        </w:r>
      </w:hyperlink>
    </w:p>
    <w:p w14:paraId="0DE2BCBF" w14:textId="77777777" w:rsidR="003B05CB" w:rsidRPr="00712ED2" w:rsidRDefault="003B05CB" w:rsidP="003B05CB">
      <w:pPr>
        <w:spacing w:before="0" w:beforeAutospacing="0" w:after="0" w:afterAutospacing="0" w:line="240" w:lineRule="auto"/>
        <w:jc w:val="center"/>
        <w:rPr>
          <w:rFonts w:asciiTheme="majorBidi" w:hAnsiTheme="majorBidi" w:cstheme="majorBidi"/>
          <w:b/>
          <w:bCs/>
          <w:sz w:val="22"/>
          <w:szCs w:val="22"/>
          <w:lang w:val="en-US"/>
        </w:rPr>
      </w:pPr>
      <w:r w:rsidRPr="00712ED2">
        <w:rPr>
          <w:rFonts w:asciiTheme="majorBidi" w:hAnsiTheme="majorBidi" w:cstheme="majorBidi"/>
          <w:b/>
          <w:bCs/>
          <w:sz w:val="22"/>
          <w:szCs w:val="22"/>
          <w:lang w:val="en-US"/>
        </w:rPr>
        <w:t>Marah Halim</w:t>
      </w:r>
    </w:p>
    <w:p w14:paraId="16E76FB8" w14:textId="7D361073" w:rsidR="003B05CB" w:rsidRPr="00712ED2" w:rsidRDefault="003B05CB" w:rsidP="003B05CB">
      <w:pPr>
        <w:spacing w:before="0" w:beforeAutospacing="0" w:after="0" w:afterAutospacing="0" w:line="240" w:lineRule="auto"/>
        <w:jc w:val="center"/>
        <w:rPr>
          <w:rFonts w:asciiTheme="majorBidi" w:hAnsiTheme="majorBidi" w:cstheme="majorBidi"/>
          <w:b/>
          <w:bCs/>
          <w:sz w:val="22"/>
          <w:szCs w:val="22"/>
          <w:lang w:val="en-US"/>
        </w:rPr>
      </w:pPr>
      <w:r w:rsidRPr="00712ED2">
        <w:rPr>
          <w:rFonts w:asciiTheme="majorBidi" w:hAnsiTheme="majorBidi" w:cstheme="majorBidi"/>
          <w:b/>
          <w:bCs/>
          <w:sz w:val="22"/>
          <w:szCs w:val="22"/>
          <w:lang w:val="en-US"/>
        </w:rPr>
        <w:t>Sekolah Tinggi  Ilmu Hukum Muhammadiyah Aceh Tengah</w:t>
      </w:r>
    </w:p>
    <w:p w14:paraId="5B650625" w14:textId="6FFFB72C" w:rsidR="004F323C" w:rsidRPr="00BB211C" w:rsidRDefault="004F323C" w:rsidP="003B05CB">
      <w:pPr>
        <w:spacing w:before="0" w:beforeAutospacing="0" w:after="0" w:afterAutospacing="0" w:line="240" w:lineRule="auto"/>
        <w:jc w:val="center"/>
        <w:rPr>
          <w:rFonts w:asciiTheme="majorBidi" w:hAnsiTheme="majorBidi" w:cstheme="majorBidi"/>
          <w:sz w:val="22"/>
          <w:szCs w:val="22"/>
          <w:lang w:val="en-US"/>
        </w:rPr>
      </w:pPr>
      <w:r w:rsidRPr="00712ED2">
        <w:rPr>
          <w:rFonts w:asciiTheme="majorBidi" w:hAnsiTheme="majorBidi" w:cstheme="majorBidi"/>
          <w:b/>
          <w:bCs/>
          <w:sz w:val="22"/>
          <w:szCs w:val="22"/>
          <w:lang w:val="en-US"/>
        </w:rPr>
        <w:t xml:space="preserve">Email: </w:t>
      </w:r>
      <w:hyperlink r:id="rId10" w:history="1">
        <w:r w:rsidRPr="00712ED2">
          <w:rPr>
            <w:rStyle w:val="Hyperlink"/>
            <w:rFonts w:asciiTheme="majorBidi" w:hAnsiTheme="majorBidi" w:cstheme="majorBidi"/>
            <w:b/>
            <w:bCs/>
            <w:sz w:val="22"/>
            <w:szCs w:val="22"/>
            <w:lang w:val="en-US"/>
          </w:rPr>
          <w:t>marahh77@gmail.com</w:t>
        </w:r>
      </w:hyperlink>
      <w:r w:rsidRPr="00BB211C">
        <w:rPr>
          <w:rFonts w:asciiTheme="majorBidi" w:hAnsiTheme="majorBidi" w:cstheme="majorBidi"/>
          <w:sz w:val="22"/>
          <w:szCs w:val="22"/>
          <w:lang w:val="en-US"/>
        </w:rPr>
        <w:t xml:space="preserve"> </w:t>
      </w:r>
    </w:p>
    <w:p w14:paraId="7250F597" w14:textId="1B117C4B" w:rsidR="00FE7BBA" w:rsidRPr="00BB211C" w:rsidRDefault="00FE7BBA" w:rsidP="00BB211C">
      <w:pPr>
        <w:pStyle w:val="Heading1"/>
        <w:spacing w:line="240" w:lineRule="auto"/>
        <w:jc w:val="both"/>
        <w:rPr>
          <w:rFonts w:asciiTheme="majorBidi" w:hAnsiTheme="majorBidi" w:cstheme="majorBidi"/>
          <w:b/>
          <w:bCs/>
          <w:sz w:val="22"/>
          <w:szCs w:val="22"/>
        </w:rPr>
      </w:pPr>
      <w:r w:rsidRPr="00BB211C">
        <w:rPr>
          <w:rFonts w:asciiTheme="majorBidi" w:hAnsiTheme="majorBidi" w:cstheme="majorBidi"/>
          <w:b/>
          <w:bCs/>
          <w:sz w:val="22"/>
          <w:szCs w:val="22"/>
        </w:rPr>
        <w:t>Abstra</w:t>
      </w:r>
      <w:r w:rsidR="00A1708E" w:rsidRPr="00BB211C">
        <w:rPr>
          <w:rFonts w:asciiTheme="majorBidi" w:hAnsiTheme="majorBidi" w:cstheme="majorBidi"/>
          <w:b/>
          <w:bCs/>
          <w:sz w:val="22"/>
          <w:szCs w:val="22"/>
        </w:rPr>
        <w:t>k</w:t>
      </w:r>
    </w:p>
    <w:p w14:paraId="02FAE4AC" w14:textId="672A5220" w:rsidR="00A1708E" w:rsidRPr="00BB211C" w:rsidRDefault="00A1708E" w:rsidP="00BB211C">
      <w:pPr>
        <w:spacing w:before="0" w:beforeAutospacing="0" w:after="0" w:afterAutospacing="0"/>
        <w:jc w:val="both"/>
        <w:rPr>
          <w:rFonts w:asciiTheme="majorBidi" w:hAnsiTheme="majorBidi" w:cstheme="majorBidi"/>
          <w:sz w:val="22"/>
          <w:szCs w:val="22"/>
          <w:lang w:eastAsia="en-US"/>
        </w:rPr>
      </w:pPr>
      <w:r w:rsidRPr="00BB211C">
        <w:rPr>
          <w:rFonts w:asciiTheme="majorBidi" w:hAnsiTheme="majorBidi" w:cstheme="majorBidi"/>
          <w:sz w:val="22"/>
          <w:szCs w:val="22"/>
        </w:rPr>
        <w:t>Tujuan penulisan ini adalah untuk memberikan logika hukum atas pembolehan  memilih hukuman pidana bagi non-</w:t>
      </w:r>
      <w:r w:rsidR="00053E82" w:rsidRPr="00BB211C">
        <w:rPr>
          <w:rFonts w:asciiTheme="majorBidi" w:hAnsiTheme="majorBidi" w:cstheme="majorBidi"/>
          <w:sz w:val="22"/>
          <w:szCs w:val="22"/>
          <w:lang w:val="en-US"/>
        </w:rPr>
        <w:t>M</w:t>
      </w:r>
      <w:r w:rsidRPr="00BB211C">
        <w:rPr>
          <w:rFonts w:asciiTheme="majorBidi" w:hAnsiTheme="majorBidi" w:cstheme="majorBidi"/>
          <w:sz w:val="22"/>
          <w:szCs w:val="22"/>
        </w:rPr>
        <w:t>uslim yang melakukan perbuatan pidana yang diatur dalam qanun jinayat Aceh berdasarkan salah satu asas hukum yang dimunculkan (endorsement) sebagai dasar pembentukan norma dalam qanun dimaksud, yakni asas penundukan diri yang sejatinya tidak dikenal dalam hukum pidana. Kajian ini akan dianalisis dengan mengamati prinsip dasar di dalam hukum pidana, antara lain asas berlakunya hukum pidana dan politik hukum pidana. Hasil kajian menunjukkan bahwa dari segi prinsip hukum pidana yang merupakan hukum memaksa, penundukan diri ini merupakan penyimpangan di dalam hukum pidana, namun dari sisi politik hukum, karena lahirnya ketentuan yang dibolehkan di dalam qanun merupakan proses politik, dimana adanya tuntutan untuk memberlakukan syariat islam, yang pada dasarnya hanya berlaku untuk orang Islam, maka sebagai perlunakan dari asas territorial kepada non</w:t>
      </w:r>
      <w:r w:rsidR="00053E82" w:rsidRPr="00BB211C">
        <w:rPr>
          <w:rFonts w:asciiTheme="majorBidi" w:hAnsiTheme="majorBidi" w:cstheme="majorBidi"/>
          <w:sz w:val="22"/>
          <w:szCs w:val="22"/>
        </w:rPr>
        <w:t>-M</w:t>
      </w:r>
      <w:r w:rsidRPr="00BB211C">
        <w:rPr>
          <w:rFonts w:asciiTheme="majorBidi" w:hAnsiTheme="majorBidi" w:cstheme="majorBidi"/>
          <w:sz w:val="22"/>
          <w:szCs w:val="22"/>
        </w:rPr>
        <w:t>uslim dibolehkan untuk memilih.</w:t>
      </w:r>
    </w:p>
    <w:p w14:paraId="6E235C32" w14:textId="77777777" w:rsidR="00A1708E" w:rsidRPr="00BB211C" w:rsidRDefault="00A1708E" w:rsidP="00A1708E">
      <w:pPr>
        <w:spacing w:before="120" w:after="120"/>
        <w:rPr>
          <w:rFonts w:asciiTheme="majorBidi" w:hAnsiTheme="majorBidi" w:cstheme="majorBidi"/>
          <w:sz w:val="22"/>
          <w:szCs w:val="22"/>
          <w:lang w:val="en-US"/>
        </w:rPr>
      </w:pPr>
      <w:r w:rsidRPr="00BB211C">
        <w:rPr>
          <w:rFonts w:asciiTheme="majorBidi" w:hAnsiTheme="majorBidi" w:cstheme="majorBidi"/>
          <w:b/>
          <w:sz w:val="22"/>
          <w:szCs w:val="22"/>
        </w:rPr>
        <w:t>Keywords</w:t>
      </w:r>
      <w:r w:rsidRPr="00BB211C">
        <w:rPr>
          <w:rFonts w:asciiTheme="majorBidi" w:hAnsiTheme="majorBidi" w:cstheme="majorBidi"/>
          <w:sz w:val="22"/>
          <w:szCs w:val="22"/>
        </w:rPr>
        <w:t>: penundukan diri, politik hukum, prinsip hukum pidana, Qanun Jinayat</w:t>
      </w:r>
      <w:r w:rsidRPr="00BB211C">
        <w:rPr>
          <w:rFonts w:asciiTheme="majorBidi" w:hAnsiTheme="majorBidi" w:cstheme="majorBidi"/>
          <w:sz w:val="22"/>
          <w:szCs w:val="22"/>
          <w:lang w:val="en-US"/>
        </w:rPr>
        <w:t>.</w:t>
      </w:r>
    </w:p>
    <w:p w14:paraId="1655950C" w14:textId="77777777" w:rsidR="005D069A" w:rsidRPr="00BB211C" w:rsidRDefault="005D069A" w:rsidP="00037D10">
      <w:pPr>
        <w:spacing w:before="0" w:beforeAutospacing="0" w:after="0" w:afterAutospacing="0" w:line="240" w:lineRule="auto"/>
        <w:jc w:val="both"/>
        <w:rPr>
          <w:rFonts w:asciiTheme="majorBidi" w:hAnsiTheme="majorBidi" w:cstheme="majorBidi"/>
          <w:b/>
          <w:sz w:val="22"/>
          <w:szCs w:val="22"/>
        </w:rPr>
      </w:pPr>
      <w:r w:rsidRPr="00BB211C">
        <w:rPr>
          <w:rFonts w:asciiTheme="majorBidi" w:hAnsiTheme="majorBidi" w:cstheme="majorBidi"/>
          <w:b/>
          <w:sz w:val="22"/>
          <w:szCs w:val="22"/>
        </w:rPr>
        <w:t xml:space="preserve"> </w:t>
      </w:r>
    </w:p>
    <w:p w14:paraId="6C439D16" w14:textId="548395AA" w:rsidR="005D069A" w:rsidRPr="00BB211C" w:rsidRDefault="00376218" w:rsidP="00BB211C">
      <w:pPr>
        <w:pStyle w:val="ListParagraph"/>
        <w:numPr>
          <w:ilvl w:val="0"/>
          <w:numId w:val="10"/>
        </w:numPr>
        <w:spacing w:before="0" w:beforeAutospacing="0" w:after="0" w:afterAutospacing="0" w:line="240" w:lineRule="auto"/>
        <w:ind w:left="426" w:hanging="426"/>
        <w:jc w:val="both"/>
        <w:rPr>
          <w:rFonts w:asciiTheme="majorBidi" w:hAnsiTheme="majorBidi" w:cstheme="majorBidi"/>
          <w:sz w:val="22"/>
          <w:szCs w:val="22"/>
        </w:rPr>
      </w:pPr>
      <w:r w:rsidRPr="00BB211C">
        <w:rPr>
          <w:rFonts w:asciiTheme="majorBidi" w:hAnsiTheme="majorBidi" w:cstheme="majorBidi"/>
          <w:b/>
          <w:sz w:val="22"/>
          <w:szCs w:val="22"/>
        </w:rPr>
        <w:t>Pendahuluan</w:t>
      </w:r>
      <w:r w:rsidR="005D069A" w:rsidRPr="00BB211C">
        <w:rPr>
          <w:rFonts w:asciiTheme="majorBidi" w:hAnsiTheme="majorBidi" w:cstheme="majorBidi"/>
          <w:b/>
          <w:sz w:val="22"/>
          <w:szCs w:val="22"/>
        </w:rPr>
        <w:t xml:space="preserve"> </w:t>
      </w:r>
    </w:p>
    <w:p w14:paraId="78EE49E1" w14:textId="53B043E0" w:rsidR="005D069A" w:rsidRPr="00BB211C" w:rsidRDefault="005D069A" w:rsidP="00376218">
      <w:pPr>
        <w:spacing w:before="0" w:beforeAutospacing="0" w:after="0" w:afterAutospacing="0" w:line="240" w:lineRule="auto"/>
        <w:ind w:firstLine="720"/>
        <w:jc w:val="both"/>
        <w:rPr>
          <w:rFonts w:asciiTheme="majorBidi" w:hAnsiTheme="majorBidi" w:cstheme="majorBidi"/>
          <w:sz w:val="22"/>
          <w:szCs w:val="22"/>
        </w:rPr>
      </w:pPr>
      <w:r w:rsidRPr="00BB211C">
        <w:rPr>
          <w:rFonts w:asciiTheme="majorBidi" w:hAnsiTheme="majorBidi" w:cstheme="majorBidi"/>
          <w:sz w:val="22"/>
          <w:szCs w:val="22"/>
        </w:rPr>
        <w:t xml:space="preserve">Sejak </w:t>
      </w:r>
      <w:r w:rsidR="00490A10" w:rsidRPr="00BB211C">
        <w:rPr>
          <w:rFonts w:asciiTheme="majorBidi" w:hAnsiTheme="majorBidi" w:cstheme="majorBidi"/>
          <w:sz w:val="22"/>
          <w:szCs w:val="22"/>
        </w:rPr>
        <w:t>berlakunya</w:t>
      </w:r>
      <w:r w:rsidRPr="00BB211C">
        <w:rPr>
          <w:rFonts w:asciiTheme="majorBidi" w:hAnsiTheme="majorBidi" w:cstheme="majorBidi"/>
          <w:sz w:val="22"/>
          <w:szCs w:val="22"/>
        </w:rPr>
        <w:t xml:space="preserve"> Qanun Nomor 6 Tahun 2014 tentang Hukum Jinayat (Qanun Jinayat), yaitu tahun 2015 telah banyak non-Muslim yang dihukum dengan cambuk. Eksekusi </w:t>
      </w:r>
      <w:r w:rsidR="004F323C" w:rsidRPr="00BB211C">
        <w:rPr>
          <w:rFonts w:asciiTheme="majorBidi" w:hAnsiTheme="majorBidi" w:cstheme="majorBidi"/>
          <w:sz w:val="22"/>
          <w:szCs w:val="22"/>
          <w:lang w:val="en-US"/>
        </w:rPr>
        <w:t xml:space="preserve"> yang relatif baru</w:t>
      </w:r>
      <w:r w:rsidRPr="00BB211C">
        <w:rPr>
          <w:rFonts w:asciiTheme="majorBidi" w:hAnsiTheme="majorBidi" w:cstheme="majorBidi"/>
          <w:sz w:val="22"/>
          <w:szCs w:val="22"/>
        </w:rPr>
        <w:t>, misalnya pada Senin, 8 Februari 2021, tiga warga non</w:t>
      </w:r>
      <w:r w:rsidR="0024317A" w:rsidRPr="00BB211C">
        <w:rPr>
          <w:rFonts w:asciiTheme="majorBidi" w:hAnsiTheme="majorBidi" w:cstheme="majorBidi"/>
          <w:sz w:val="22"/>
          <w:szCs w:val="22"/>
          <w:lang w:val="en-US"/>
        </w:rPr>
        <w:t>-</w:t>
      </w:r>
      <w:r w:rsidR="00053E82" w:rsidRPr="00BB211C">
        <w:rPr>
          <w:rFonts w:asciiTheme="majorBidi" w:hAnsiTheme="majorBidi" w:cstheme="majorBidi"/>
          <w:sz w:val="22"/>
          <w:szCs w:val="22"/>
          <w:lang w:val="en-US"/>
        </w:rPr>
        <w:t>M</w:t>
      </w:r>
      <w:r w:rsidRPr="00BB211C">
        <w:rPr>
          <w:rFonts w:asciiTheme="majorBidi" w:hAnsiTheme="majorBidi" w:cstheme="majorBidi"/>
          <w:sz w:val="22"/>
          <w:szCs w:val="22"/>
        </w:rPr>
        <w:t>uslim (2 laki-laki dan satu perempuan)  dicambuk di depan umum karena meminum khamar. Para pelaku menyatakan bahwa mereka “memilih” hukuman cambuk karena lebih praktis dan cepat selesai; hukuman penjara lebih lama dan lebih menderita. Informasi ini diperkuat oleh  data putusan Mahkamah Syar`iyah sejak tahun 2015 yang menghukum non</w:t>
      </w:r>
      <w:r w:rsidR="0024317A" w:rsidRPr="00BB211C">
        <w:rPr>
          <w:rFonts w:asciiTheme="majorBidi" w:hAnsiTheme="majorBidi" w:cstheme="majorBidi"/>
          <w:sz w:val="22"/>
          <w:szCs w:val="22"/>
        </w:rPr>
        <w:t>-</w:t>
      </w:r>
      <w:r w:rsidR="00053E82" w:rsidRPr="00BB211C">
        <w:rPr>
          <w:rFonts w:asciiTheme="majorBidi" w:hAnsiTheme="majorBidi" w:cstheme="majorBidi"/>
          <w:sz w:val="22"/>
          <w:szCs w:val="22"/>
        </w:rPr>
        <w:t>M</w:t>
      </w:r>
      <w:r w:rsidRPr="00BB211C">
        <w:rPr>
          <w:rFonts w:asciiTheme="majorBidi" w:hAnsiTheme="majorBidi" w:cstheme="majorBidi"/>
          <w:sz w:val="22"/>
          <w:szCs w:val="22"/>
        </w:rPr>
        <w:t>uslim dengan cambuk, didasarkan pada Qanun Jinayat, terutama pada delik minum atau menjual khamar dan maisir (bemain judi). “Memilih” dihukum dengan hukuman tertentu sesungguhnya bertentangan dengan prinsip hukum pidana yaitu “pemaksaan”. Demikian juga memilih dihukum dengan sistem hukum tertentu (dalam konteks ini adalah Qanun Jinayat) menjadi hal yang tidak biasa karena “penundukan diri” pada sistem hukum tertentu biasanya hanya berlaku pada hukum perdata, bukan pidana. Keberadaannya dalam Qanun Jinayat dapat menjadi indikator adanya pergeseran dalam asas hukum pidana</w:t>
      </w:r>
      <w:r w:rsidR="004F323C" w:rsidRPr="00BB211C">
        <w:rPr>
          <w:rFonts w:asciiTheme="majorBidi" w:hAnsiTheme="majorBidi" w:cstheme="majorBidi"/>
          <w:sz w:val="22"/>
          <w:szCs w:val="22"/>
          <w:lang w:val="en-US"/>
        </w:rPr>
        <w:t xml:space="preserve"> yang bersipat memaksa tersebut</w:t>
      </w:r>
      <w:r w:rsidRPr="00BB211C">
        <w:rPr>
          <w:rFonts w:asciiTheme="majorBidi" w:hAnsiTheme="majorBidi" w:cstheme="majorBidi"/>
          <w:sz w:val="22"/>
          <w:szCs w:val="22"/>
        </w:rPr>
        <w:t>.</w:t>
      </w:r>
    </w:p>
    <w:p w14:paraId="092A0D34" w14:textId="5CE9114F" w:rsidR="005D70C8" w:rsidRPr="00BB211C" w:rsidRDefault="005D70C8" w:rsidP="00376218">
      <w:pPr>
        <w:spacing w:before="0" w:beforeAutospacing="0" w:after="0" w:afterAutospacing="0" w:line="240" w:lineRule="auto"/>
        <w:ind w:firstLine="720"/>
        <w:jc w:val="both"/>
        <w:rPr>
          <w:rFonts w:asciiTheme="majorBidi" w:hAnsiTheme="majorBidi" w:cstheme="majorBidi"/>
          <w:sz w:val="22"/>
          <w:szCs w:val="22"/>
          <w:lang w:val="en-US"/>
        </w:rPr>
      </w:pPr>
      <w:r w:rsidRPr="00BB211C">
        <w:rPr>
          <w:rFonts w:asciiTheme="majorBidi" w:hAnsiTheme="majorBidi" w:cstheme="majorBidi"/>
          <w:sz w:val="22"/>
          <w:szCs w:val="22"/>
        </w:rPr>
        <w:t>Ketentuan penundukan diri di dalam Qanun Jinayat terdapat di dalam Pasal 5 sub b yang menyatakan</w:t>
      </w:r>
      <w:r w:rsidR="008014F9" w:rsidRPr="00BB211C">
        <w:rPr>
          <w:rFonts w:asciiTheme="majorBidi" w:hAnsiTheme="majorBidi" w:cstheme="majorBidi"/>
          <w:sz w:val="22"/>
          <w:szCs w:val="22"/>
        </w:rPr>
        <w:t>,</w:t>
      </w:r>
      <w:r w:rsidRPr="00BB211C">
        <w:rPr>
          <w:rFonts w:asciiTheme="majorBidi" w:hAnsiTheme="majorBidi" w:cstheme="majorBidi"/>
          <w:sz w:val="22"/>
          <w:szCs w:val="22"/>
        </w:rPr>
        <w:t xml:space="preserve"> “Setiap </w:t>
      </w:r>
      <w:r w:rsidR="0024317A" w:rsidRPr="00BB211C">
        <w:rPr>
          <w:rFonts w:asciiTheme="majorBidi" w:hAnsiTheme="majorBidi" w:cstheme="majorBidi"/>
          <w:sz w:val="22"/>
          <w:szCs w:val="22"/>
        </w:rPr>
        <w:t>o</w:t>
      </w:r>
      <w:r w:rsidRPr="00BB211C">
        <w:rPr>
          <w:rFonts w:asciiTheme="majorBidi" w:hAnsiTheme="majorBidi" w:cstheme="majorBidi"/>
          <w:sz w:val="22"/>
          <w:szCs w:val="22"/>
        </w:rPr>
        <w:t>rang beragama bukan Islam yang melakukan Jarimah di Aceh bersama-sama dengan orang Islam dan memilih serta menundukkan diri secara sukarela pada Hukum Jinayat”. Dengan ketentuan ini, maka non-</w:t>
      </w:r>
      <w:r w:rsidR="00053E82" w:rsidRPr="00BB211C">
        <w:rPr>
          <w:rFonts w:asciiTheme="majorBidi" w:hAnsiTheme="majorBidi" w:cstheme="majorBidi"/>
          <w:sz w:val="22"/>
          <w:szCs w:val="22"/>
          <w:lang w:val="en-US"/>
        </w:rPr>
        <w:t>M</w:t>
      </w:r>
      <w:r w:rsidRPr="00BB211C">
        <w:rPr>
          <w:rFonts w:asciiTheme="majorBidi" w:hAnsiTheme="majorBidi" w:cstheme="majorBidi"/>
          <w:sz w:val="22"/>
          <w:szCs w:val="22"/>
        </w:rPr>
        <w:t xml:space="preserve">uslim dapat dikenakan </w:t>
      </w:r>
      <w:r w:rsidR="008014F9" w:rsidRPr="00BB211C">
        <w:rPr>
          <w:rFonts w:asciiTheme="majorBidi" w:hAnsiTheme="majorBidi" w:cstheme="majorBidi"/>
          <w:sz w:val="22"/>
          <w:szCs w:val="22"/>
          <w:lang w:val="en-US"/>
        </w:rPr>
        <w:t>Q</w:t>
      </w:r>
      <w:r w:rsidRPr="00BB211C">
        <w:rPr>
          <w:rFonts w:asciiTheme="majorBidi" w:hAnsiTheme="majorBidi" w:cstheme="majorBidi"/>
          <w:sz w:val="22"/>
          <w:szCs w:val="22"/>
        </w:rPr>
        <w:t xml:space="preserve">anun </w:t>
      </w:r>
      <w:r w:rsidR="008014F9" w:rsidRPr="00BB211C">
        <w:rPr>
          <w:rFonts w:asciiTheme="majorBidi" w:hAnsiTheme="majorBidi" w:cstheme="majorBidi"/>
          <w:sz w:val="22"/>
          <w:szCs w:val="22"/>
          <w:lang w:val="en-US"/>
        </w:rPr>
        <w:t>J</w:t>
      </w:r>
      <w:r w:rsidRPr="00BB211C">
        <w:rPr>
          <w:rFonts w:asciiTheme="majorBidi" w:hAnsiTheme="majorBidi" w:cstheme="majorBidi"/>
          <w:sz w:val="22"/>
          <w:szCs w:val="22"/>
        </w:rPr>
        <w:t>inayat dalam hal tindak pidana yang dilakukan se</w:t>
      </w:r>
      <w:r w:rsidR="00A1708E" w:rsidRPr="00BB211C">
        <w:rPr>
          <w:rFonts w:asciiTheme="majorBidi" w:hAnsiTheme="majorBidi" w:cstheme="majorBidi"/>
          <w:sz w:val="22"/>
          <w:szCs w:val="22"/>
          <w:lang w:val="en-US"/>
        </w:rPr>
        <w:t>c</w:t>
      </w:r>
      <w:r w:rsidRPr="00BB211C">
        <w:rPr>
          <w:rFonts w:asciiTheme="majorBidi" w:hAnsiTheme="majorBidi" w:cstheme="majorBidi"/>
          <w:sz w:val="22"/>
          <w:szCs w:val="22"/>
        </w:rPr>
        <w:t xml:space="preserve">ara bersama-sama dengan </w:t>
      </w:r>
      <w:r w:rsidR="00053E82" w:rsidRPr="00BB211C">
        <w:rPr>
          <w:rFonts w:asciiTheme="majorBidi" w:hAnsiTheme="majorBidi" w:cstheme="majorBidi"/>
          <w:sz w:val="22"/>
          <w:szCs w:val="22"/>
          <w:lang w:val="en-US"/>
        </w:rPr>
        <w:t>M</w:t>
      </w:r>
      <w:r w:rsidRPr="00BB211C">
        <w:rPr>
          <w:rFonts w:asciiTheme="majorBidi" w:hAnsiTheme="majorBidi" w:cstheme="majorBidi"/>
          <w:sz w:val="22"/>
          <w:szCs w:val="22"/>
        </w:rPr>
        <w:t>uslim, akan tetapi harus menundukkan diri.</w:t>
      </w:r>
      <w:r w:rsidR="00A1708E" w:rsidRPr="00BB211C">
        <w:rPr>
          <w:rFonts w:asciiTheme="majorBidi" w:hAnsiTheme="majorBidi" w:cstheme="majorBidi"/>
          <w:sz w:val="22"/>
          <w:szCs w:val="22"/>
          <w:lang w:val="en-US"/>
        </w:rPr>
        <w:t xml:space="preserve"> Ketentuan ini sebenarnya merupakan turunan bahkan pengulangan dari ketentuan yang terdapat di </w:t>
      </w:r>
      <w:r w:rsidR="00A1708E" w:rsidRPr="00BB211C">
        <w:rPr>
          <w:rFonts w:asciiTheme="majorBidi" w:hAnsiTheme="majorBidi" w:cstheme="majorBidi"/>
          <w:sz w:val="22"/>
          <w:szCs w:val="22"/>
          <w:lang w:val="en-US"/>
        </w:rPr>
        <w:lastRenderedPageBreak/>
        <w:t xml:space="preserve">dalam Undang-undang No 11 </w:t>
      </w:r>
      <w:r w:rsidR="008014F9" w:rsidRPr="00BB211C">
        <w:rPr>
          <w:rFonts w:asciiTheme="majorBidi" w:hAnsiTheme="majorBidi" w:cstheme="majorBidi"/>
          <w:sz w:val="22"/>
          <w:szCs w:val="22"/>
          <w:lang w:val="en-US"/>
        </w:rPr>
        <w:t>T</w:t>
      </w:r>
      <w:r w:rsidR="00A1708E" w:rsidRPr="00BB211C">
        <w:rPr>
          <w:rFonts w:asciiTheme="majorBidi" w:hAnsiTheme="majorBidi" w:cstheme="majorBidi"/>
          <w:sz w:val="22"/>
          <w:szCs w:val="22"/>
          <w:lang w:val="en-US"/>
        </w:rPr>
        <w:t xml:space="preserve">ahun 2006 tentang </w:t>
      </w:r>
      <w:r w:rsidR="004F323C" w:rsidRPr="00BB211C">
        <w:rPr>
          <w:rFonts w:asciiTheme="majorBidi" w:hAnsiTheme="majorBidi" w:cstheme="majorBidi"/>
          <w:sz w:val="22"/>
          <w:szCs w:val="22"/>
          <w:lang w:val="en-US"/>
        </w:rPr>
        <w:t>P</w:t>
      </w:r>
      <w:r w:rsidR="00A1708E" w:rsidRPr="00BB211C">
        <w:rPr>
          <w:rFonts w:asciiTheme="majorBidi" w:hAnsiTheme="majorBidi" w:cstheme="majorBidi"/>
          <w:sz w:val="22"/>
          <w:szCs w:val="22"/>
          <w:lang w:val="en-US"/>
        </w:rPr>
        <w:t>emerintah</w:t>
      </w:r>
      <w:r w:rsidR="008014F9" w:rsidRPr="00BB211C">
        <w:rPr>
          <w:rFonts w:asciiTheme="majorBidi" w:hAnsiTheme="majorBidi" w:cstheme="majorBidi"/>
          <w:sz w:val="22"/>
          <w:szCs w:val="22"/>
          <w:lang w:val="en-US"/>
        </w:rPr>
        <w:t>an</w:t>
      </w:r>
      <w:r w:rsidR="00A1708E" w:rsidRPr="00BB211C">
        <w:rPr>
          <w:rFonts w:asciiTheme="majorBidi" w:hAnsiTheme="majorBidi" w:cstheme="majorBidi"/>
          <w:sz w:val="22"/>
          <w:szCs w:val="22"/>
          <w:lang w:val="en-US"/>
        </w:rPr>
        <w:t xml:space="preserve"> Aceh</w:t>
      </w:r>
      <w:r w:rsidR="008014F9" w:rsidRPr="00BB211C">
        <w:rPr>
          <w:rFonts w:asciiTheme="majorBidi" w:hAnsiTheme="majorBidi" w:cstheme="majorBidi"/>
          <w:sz w:val="22"/>
          <w:szCs w:val="22"/>
          <w:lang w:val="en-US"/>
        </w:rPr>
        <w:t xml:space="preserve"> (UUPA)</w:t>
      </w:r>
      <w:r w:rsidR="00A1708E" w:rsidRPr="00BB211C">
        <w:rPr>
          <w:rFonts w:asciiTheme="majorBidi" w:hAnsiTheme="majorBidi" w:cstheme="majorBidi"/>
          <w:sz w:val="22"/>
          <w:szCs w:val="22"/>
          <w:lang w:val="en-US"/>
        </w:rPr>
        <w:t xml:space="preserve">. </w:t>
      </w:r>
      <w:r w:rsidR="00A1708E" w:rsidRPr="00BB211C">
        <w:rPr>
          <w:rFonts w:asciiTheme="majorBidi" w:hAnsiTheme="majorBidi" w:cstheme="majorBidi"/>
          <w:sz w:val="22"/>
          <w:szCs w:val="22"/>
        </w:rPr>
        <w:t xml:space="preserve">Pasal 129 </w:t>
      </w:r>
      <w:r w:rsidR="00B87705" w:rsidRPr="00BB211C">
        <w:rPr>
          <w:rFonts w:asciiTheme="majorBidi" w:hAnsiTheme="majorBidi" w:cstheme="majorBidi"/>
          <w:sz w:val="22"/>
          <w:szCs w:val="22"/>
          <w:lang w:val="en-US"/>
        </w:rPr>
        <w:t xml:space="preserve">ayat (1) </w:t>
      </w:r>
      <w:r w:rsidR="00A1708E" w:rsidRPr="00BB211C">
        <w:rPr>
          <w:rFonts w:asciiTheme="majorBidi" w:hAnsiTheme="majorBidi" w:cstheme="majorBidi"/>
          <w:sz w:val="22"/>
          <w:szCs w:val="22"/>
          <w:lang w:val="en-US"/>
        </w:rPr>
        <w:t xml:space="preserve"> </w:t>
      </w:r>
      <w:r w:rsidR="008014F9" w:rsidRPr="00BB211C">
        <w:rPr>
          <w:rFonts w:asciiTheme="majorBidi" w:hAnsiTheme="majorBidi" w:cstheme="majorBidi"/>
          <w:sz w:val="22"/>
          <w:szCs w:val="22"/>
          <w:lang w:val="en-US"/>
        </w:rPr>
        <w:t xml:space="preserve">UUPA </w:t>
      </w:r>
      <w:r w:rsidR="00A1708E" w:rsidRPr="00BB211C">
        <w:rPr>
          <w:rFonts w:asciiTheme="majorBidi" w:hAnsiTheme="majorBidi" w:cstheme="majorBidi"/>
          <w:sz w:val="22"/>
          <w:szCs w:val="22"/>
          <w:lang w:val="en-US"/>
        </w:rPr>
        <w:t>menyatakan</w:t>
      </w:r>
      <w:r w:rsidR="008014F9" w:rsidRPr="00BB211C">
        <w:rPr>
          <w:rFonts w:asciiTheme="majorBidi" w:hAnsiTheme="majorBidi" w:cstheme="majorBidi"/>
          <w:sz w:val="22"/>
          <w:szCs w:val="22"/>
          <w:lang w:val="en-US"/>
        </w:rPr>
        <w:t>,</w:t>
      </w:r>
      <w:r w:rsidR="00A1708E" w:rsidRPr="00BB211C">
        <w:rPr>
          <w:rFonts w:asciiTheme="majorBidi" w:hAnsiTheme="majorBidi" w:cstheme="majorBidi"/>
          <w:sz w:val="22"/>
          <w:szCs w:val="22"/>
          <w:lang w:val="en-US"/>
        </w:rPr>
        <w:t xml:space="preserve"> “</w:t>
      </w:r>
      <w:r w:rsidR="00A1708E" w:rsidRPr="00BB211C">
        <w:rPr>
          <w:rFonts w:asciiTheme="majorBidi" w:hAnsiTheme="majorBidi" w:cstheme="majorBidi"/>
          <w:sz w:val="22"/>
          <w:szCs w:val="22"/>
        </w:rPr>
        <w:t>Dalam hal terjadi perbuatan jinayah yang dilakukan oleh dua orang atau lebih secara bersama-sama yang di antaranya beragama bukan Islam, pelaku yang beragama bukan Islam dapat memilih dan menundukkan diri secara sukarela pada hukum jinayah</w:t>
      </w:r>
      <w:r w:rsidR="00A1708E" w:rsidRPr="00BB211C">
        <w:rPr>
          <w:rFonts w:asciiTheme="majorBidi" w:hAnsiTheme="majorBidi" w:cstheme="majorBidi"/>
          <w:sz w:val="22"/>
          <w:szCs w:val="22"/>
          <w:lang w:val="en-US"/>
        </w:rPr>
        <w:t>”</w:t>
      </w:r>
      <w:r w:rsidR="00A1708E" w:rsidRPr="00BB211C">
        <w:rPr>
          <w:rFonts w:asciiTheme="majorBidi" w:hAnsiTheme="majorBidi" w:cstheme="majorBidi"/>
          <w:sz w:val="22"/>
          <w:szCs w:val="22"/>
        </w:rPr>
        <w:t>.</w:t>
      </w:r>
      <w:r w:rsidR="00B87705" w:rsidRPr="00BB211C">
        <w:rPr>
          <w:rFonts w:asciiTheme="majorBidi" w:hAnsiTheme="majorBidi" w:cstheme="majorBidi"/>
          <w:sz w:val="22"/>
          <w:szCs w:val="22"/>
          <w:lang w:val="en-US"/>
        </w:rPr>
        <w:t xml:space="preserve"> Oleh karena sejarah pembentukan Undang-undang ini sarat dengan nuansa politik, yang tidak terlepas </w:t>
      </w:r>
      <w:r w:rsidR="004F323C" w:rsidRPr="00BB211C">
        <w:rPr>
          <w:rFonts w:asciiTheme="majorBidi" w:hAnsiTheme="majorBidi" w:cstheme="majorBidi"/>
          <w:sz w:val="22"/>
          <w:szCs w:val="22"/>
          <w:lang w:val="en-US"/>
        </w:rPr>
        <w:t xml:space="preserve">dari </w:t>
      </w:r>
      <w:r w:rsidR="00B87705" w:rsidRPr="00BB211C">
        <w:rPr>
          <w:rFonts w:asciiTheme="majorBidi" w:hAnsiTheme="majorBidi" w:cstheme="majorBidi"/>
          <w:sz w:val="22"/>
          <w:szCs w:val="22"/>
          <w:lang w:val="en-US"/>
        </w:rPr>
        <w:t>gejolak ketatanegaraan yang terjadi pada waktu itu, sehingga pengaturan ini juga dapat dianggap mengandung tendensi politik.</w:t>
      </w:r>
    </w:p>
    <w:p w14:paraId="6895245D" w14:textId="24B7DB14" w:rsidR="005D069A" w:rsidRPr="00BB211C" w:rsidRDefault="005D069A" w:rsidP="00376218">
      <w:pPr>
        <w:spacing w:before="0" w:beforeAutospacing="0" w:after="0" w:afterAutospacing="0" w:line="240" w:lineRule="auto"/>
        <w:ind w:firstLine="720"/>
        <w:jc w:val="both"/>
        <w:rPr>
          <w:rFonts w:asciiTheme="majorBidi" w:hAnsiTheme="majorBidi" w:cstheme="majorBidi"/>
          <w:sz w:val="22"/>
          <w:szCs w:val="22"/>
        </w:rPr>
      </w:pPr>
      <w:r w:rsidRPr="00BB211C">
        <w:rPr>
          <w:rFonts w:asciiTheme="majorBidi" w:hAnsiTheme="majorBidi" w:cstheme="majorBidi"/>
          <w:sz w:val="22"/>
          <w:szCs w:val="22"/>
        </w:rPr>
        <w:t>Sejauh ini, studi tentang kedudukan non</w:t>
      </w:r>
      <w:r w:rsidR="0024317A" w:rsidRPr="00BB211C">
        <w:rPr>
          <w:rFonts w:asciiTheme="majorBidi" w:hAnsiTheme="majorBidi" w:cstheme="majorBidi"/>
          <w:sz w:val="22"/>
          <w:szCs w:val="22"/>
        </w:rPr>
        <w:t>-</w:t>
      </w:r>
      <w:r w:rsidRPr="00BB211C">
        <w:rPr>
          <w:rFonts w:asciiTheme="majorBidi" w:hAnsiTheme="majorBidi" w:cstheme="majorBidi"/>
          <w:sz w:val="22"/>
          <w:szCs w:val="22"/>
        </w:rPr>
        <w:t xml:space="preserve">muslim dalam Qanun Jinayat </w:t>
      </w:r>
      <w:r w:rsidR="00712ED2">
        <w:rPr>
          <w:rStyle w:val="FootnoteReference"/>
          <w:rFonts w:asciiTheme="majorBidi" w:hAnsiTheme="majorBidi" w:cstheme="majorBidi"/>
          <w:sz w:val="22"/>
          <w:szCs w:val="22"/>
        </w:rPr>
        <w:footnoteReference w:id="1"/>
      </w:r>
      <w:r w:rsidR="009E2FC5" w:rsidRPr="00BB211C">
        <w:rPr>
          <w:rFonts w:asciiTheme="majorBidi" w:hAnsiTheme="majorBidi" w:cstheme="majorBidi"/>
          <w:sz w:val="22"/>
          <w:szCs w:val="22"/>
          <w:lang w:val="en-US"/>
        </w:rPr>
        <w:t xml:space="preserve"> </w:t>
      </w:r>
      <w:r w:rsidRPr="00BB211C">
        <w:rPr>
          <w:rFonts w:asciiTheme="majorBidi" w:hAnsiTheme="majorBidi" w:cstheme="majorBidi"/>
          <w:sz w:val="22"/>
          <w:szCs w:val="22"/>
        </w:rPr>
        <w:t>menunjukkan tiga arah. Pertama, kajian tentang persepsi masyarakat Aceh non</w:t>
      </w:r>
      <w:r w:rsidR="0024317A" w:rsidRPr="00BB211C">
        <w:rPr>
          <w:rFonts w:asciiTheme="majorBidi" w:hAnsiTheme="majorBidi" w:cstheme="majorBidi"/>
          <w:sz w:val="22"/>
          <w:szCs w:val="22"/>
        </w:rPr>
        <w:t>-</w:t>
      </w:r>
      <w:r w:rsidR="00053E82" w:rsidRPr="00BB211C">
        <w:rPr>
          <w:rFonts w:asciiTheme="majorBidi" w:hAnsiTheme="majorBidi" w:cstheme="majorBidi"/>
          <w:sz w:val="22"/>
          <w:szCs w:val="22"/>
        </w:rPr>
        <w:t>M</w:t>
      </w:r>
      <w:r w:rsidRPr="00BB211C">
        <w:rPr>
          <w:rFonts w:asciiTheme="majorBidi" w:hAnsiTheme="majorBidi" w:cstheme="majorBidi"/>
          <w:sz w:val="22"/>
          <w:szCs w:val="22"/>
        </w:rPr>
        <w:t>uslim yang menunjukkan keragaman; sebagian besar menyatakan tidak mempermasalahkan karena tujuan Qanun adalah untuk kemaslahatan masyarakat Aceh. Merek</w:t>
      </w:r>
      <w:r w:rsidR="0024317A" w:rsidRPr="00BB211C">
        <w:rPr>
          <w:rFonts w:asciiTheme="majorBidi" w:hAnsiTheme="majorBidi" w:cstheme="majorBidi"/>
          <w:sz w:val="22"/>
          <w:szCs w:val="22"/>
        </w:rPr>
        <w:t>a tidak keberatan dengan keberad</w:t>
      </w:r>
      <w:r w:rsidRPr="00BB211C">
        <w:rPr>
          <w:rFonts w:asciiTheme="majorBidi" w:hAnsiTheme="majorBidi" w:cstheme="majorBidi"/>
          <w:sz w:val="22"/>
          <w:szCs w:val="22"/>
        </w:rPr>
        <w:t>aan Qanun Jinayat. Kedua, penelitian atas norma Qanun Jinayat terkait posisi non</w:t>
      </w:r>
      <w:r w:rsidR="00C9449D" w:rsidRPr="00BB211C">
        <w:rPr>
          <w:rFonts w:asciiTheme="majorBidi" w:hAnsiTheme="majorBidi" w:cstheme="majorBidi"/>
          <w:sz w:val="22"/>
          <w:szCs w:val="22"/>
        </w:rPr>
        <w:t>-</w:t>
      </w:r>
      <w:r w:rsidR="000E262D" w:rsidRPr="00BB211C">
        <w:rPr>
          <w:rFonts w:asciiTheme="majorBidi" w:hAnsiTheme="majorBidi" w:cstheme="majorBidi"/>
          <w:sz w:val="22"/>
          <w:szCs w:val="22"/>
        </w:rPr>
        <w:t>M</w:t>
      </w:r>
      <w:r w:rsidRPr="00BB211C">
        <w:rPr>
          <w:rFonts w:asciiTheme="majorBidi" w:hAnsiTheme="majorBidi" w:cstheme="majorBidi"/>
          <w:sz w:val="22"/>
          <w:szCs w:val="22"/>
        </w:rPr>
        <w:t>uslim yang menunjukkan keragaman. Sebagian tulisan menunjukkan secara deskriptif bahwa Qanun diberlakukan hanya untuk Muslim, kecuali jika non</w:t>
      </w:r>
      <w:r w:rsidR="00C9449D" w:rsidRPr="00BB211C">
        <w:rPr>
          <w:rFonts w:asciiTheme="majorBidi" w:hAnsiTheme="majorBidi" w:cstheme="majorBidi"/>
          <w:sz w:val="22"/>
          <w:szCs w:val="22"/>
        </w:rPr>
        <w:t>-</w:t>
      </w:r>
      <w:r w:rsidR="00053E82" w:rsidRPr="00BB211C">
        <w:rPr>
          <w:rFonts w:asciiTheme="majorBidi" w:hAnsiTheme="majorBidi" w:cstheme="majorBidi"/>
          <w:sz w:val="22"/>
          <w:szCs w:val="22"/>
        </w:rPr>
        <w:t>M</w:t>
      </w:r>
      <w:r w:rsidRPr="00BB211C">
        <w:rPr>
          <w:rFonts w:asciiTheme="majorBidi" w:hAnsiTheme="majorBidi" w:cstheme="majorBidi"/>
          <w:sz w:val="22"/>
          <w:szCs w:val="22"/>
        </w:rPr>
        <w:t>uslim menundukkan diri secara sukarela, sehingga tidak dapat disebut adanya paksaan hukum Islam kepada mereka</w:t>
      </w:r>
      <w:r w:rsidR="00C9449D" w:rsidRPr="00BB211C">
        <w:rPr>
          <w:rFonts w:asciiTheme="majorBidi" w:hAnsiTheme="majorBidi" w:cstheme="majorBidi"/>
          <w:sz w:val="22"/>
          <w:szCs w:val="22"/>
        </w:rPr>
        <w:t>.</w:t>
      </w:r>
      <w:r w:rsidRPr="00BB211C">
        <w:rPr>
          <w:rFonts w:asciiTheme="majorBidi" w:hAnsiTheme="majorBidi" w:cstheme="majorBidi"/>
          <w:sz w:val="22"/>
          <w:szCs w:val="22"/>
        </w:rPr>
        <w:t xml:space="preserve"> Sebagian lain menyatakan bahwa keberadaan pasal-pasal subjek hukum non</w:t>
      </w:r>
      <w:r w:rsidR="00C9449D" w:rsidRPr="00BB211C">
        <w:rPr>
          <w:rFonts w:asciiTheme="majorBidi" w:hAnsiTheme="majorBidi" w:cstheme="majorBidi"/>
          <w:sz w:val="22"/>
          <w:szCs w:val="22"/>
        </w:rPr>
        <w:t>-</w:t>
      </w:r>
      <w:r w:rsidR="00053E82" w:rsidRPr="00BB211C">
        <w:rPr>
          <w:rFonts w:asciiTheme="majorBidi" w:hAnsiTheme="majorBidi" w:cstheme="majorBidi"/>
          <w:sz w:val="22"/>
          <w:szCs w:val="22"/>
        </w:rPr>
        <w:t>M</w:t>
      </w:r>
      <w:r w:rsidRPr="00BB211C">
        <w:rPr>
          <w:rFonts w:asciiTheme="majorBidi" w:hAnsiTheme="majorBidi" w:cstheme="majorBidi"/>
          <w:sz w:val="22"/>
          <w:szCs w:val="22"/>
        </w:rPr>
        <w:t>uslim menunjukkan adanya diskriminasi hukum terhadap non</w:t>
      </w:r>
      <w:r w:rsidR="00C9449D" w:rsidRPr="00BB211C">
        <w:rPr>
          <w:rFonts w:asciiTheme="majorBidi" w:hAnsiTheme="majorBidi" w:cstheme="majorBidi"/>
          <w:sz w:val="22"/>
          <w:szCs w:val="22"/>
        </w:rPr>
        <w:t>-</w:t>
      </w:r>
      <w:r w:rsidR="00053E82" w:rsidRPr="00BB211C">
        <w:rPr>
          <w:rFonts w:asciiTheme="majorBidi" w:hAnsiTheme="majorBidi" w:cstheme="majorBidi"/>
          <w:sz w:val="22"/>
          <w:szCs w:val="22"/>
        </w:rPr>
        <w:t>M</w:t>
      </w:r>
      <w:r w:rsidRPr="00BB211C">
        <w:rPr>
          <w:rFonts w:asciiTheme="majorBidi" w:hAnsiTheme="majorBidi" w:cstheme="majorBidi"/>
          <w:sz w:val="22"/>
          <w:szCs w:val="22"/>
        </w:rPr>
        <w:t>usl</w:t>
      </w:r>
      <w:r w:rsidR="00C9449D" w:rsidRPr="00BB211C">
        <w:rPr>
          <w:rFonts w:asciiTheme="majorBidi" w:hAnsiTheme="majorBidi" w:cstheme="majorBidi"/>
          <w:sz w:val="22"/>
          <w:szCs w:val="22"/>
        </w:rPr>
        <w:t xml:space="preserve">im atau tidak adanya </w:t>
      </w:r>
      <w:r w:rsidR="00C9449D" w:rsidRPr="00BB211C">
        <w:rPr>
          <w:rFonts w:asciiTheme="majorBidi" w:hAnsiTheme="majorBidi" w:cstheme="majorBidi"/>
          <w:i/>
          <w:sz w:val="22"/>
          <w:szCs w:val="22"/>
        </w:rPr>
        <w:t>equality b</w:t>
      </w:r>
      <w:r w:rsidRPr="00BB211C">
        <w:rPr>
          <w:rFonts w:asciiTheme="majorBidi" w:hAnsiTheme="majorBidi" w:cstheme="majorBidi"/>
          <w:i/>
          <w:sz w:val="22"/>
          <w:szCs w:val="22"/>
        </w:rPr>
        <w:t>efore the law</w:t>
      </w:r>
      <w:r w:rsidRPr="00BB211C">
        <w:rPr>
          <w:rFonts w:asciiTheme="majorBidi" w:hAnsiTheme="majorBidi" w:cstheme="majorBidi"/>
          <w:sz w:val="22"/>
          <w:szCs w:val="22"/>
        </w:rPr>
        <w:t xml:space="preserve"> yang berujung pada pelanggaran Hak Asasi Manusia. Ketiga, kajian terhadap delik Qanun yang dilakukan non</w:t>
      </w:r>
      <w:r w:rsidR="00C9449D" w:rsidRPr="00BB211C">
        <w:rPr>
          <w:rFonts w:asciiTheme="majorBidi" w:hAnsiTheme="majorBidi" w:cstheme="majorBidi"/>
          <w:sz w:val="22"/>
          <w:szCs w:val="22"/>
        </w:rPr>
        <w:t>-</w:t>
      </w:r>
      <w:r w:rsidRPr="00BB211C">
        <w:rPr>
          <w:rFonts w:asciiTheme="majorBidi" w:hAnsiTheme="majorBidi" w:cstheme="majorBidi"/>
          <w:sz w:val="22"/>
          <w:szCs w:val="22"/>
        </w:rPr>
        <w:t>muslim; sebagian besar menunjukkan bahwa subjek lebih memilih diproses dengan Qanun daripada Hukum Pidana</w:t>
      </w:r>
      <w:r w:rsidR="00490A10" w:rsidRPr="00BB211C">
        <w:rPr>
          <w:rFonts w:asciiTheme="majorBidi" w:hAnsiTheme="majorBidi" w:cstheme="majorBidi"/>
          <w:sz w:val="22"/>
          <w:szCs w:val="22"/>
        </w:rPr>
        <w:t xml:space="preserve"> nasional </w:t>
      </w:r>
      <w:r w:rsidRPr="00BB211C">
        <w:rPr>
          <w:rFonts w:asciiTheme="majorBidi" w:hAnsiTheme="majorBidi" w:cstheme="majorBidi"/>
          <w:sz w:val="22"/>
          <w:szCs w:val="22"/>
        </w:rPr>
        <w:t xml:space="preserve"> (KUHP) karena pertimbangan praktis dan hukuman yang lebih ringan. Ketiga arah penelitian ini tampak tidak mendalam dan cenderung berada dalam pro atau kontra; belum melihat kedudukan non</w:t>
      </w:r>
      <w:r w:rsidR="00053E82" w:rsidRPr="00BB211C">
        <w:rPr>
          <w:rFonts w:asciiTheme="majorBidi" w:hAnsiTheme="majorBidi" w:cstheme="majorBidi"/>
          <w:sz w:val="22"/>
          <w:szCs w:val="22"/>
        </w:rPr>
        <w:t>-M</w:t>
      </w:r>
      <w:r w:rsidRPr="00BB211C">
        <w:rPr>
          <w:rFonts w:asciiTheme="majorBidi" w:hAnsiTheme="majorBidi" w:cstheme="majorBidi"/>
          <w:sz w:val="22"/>
          <w:szCs w:val="22"/>
        </w:rPr>
        <w:t>uslim dalam hubungannya dengan prinsip hukum pidana yang mestinya tidak mengenal penundukan diri dan posisi Qanun sebagai sebuah sub-sistem dalam sistem hukum nasional sehingga dalam perumusannya sangat dipengaruhi oleh pertimbangan politik hukum.</w:t>
      </w:r>
    </w:p>
    <w:p w14:paraId="33D65BB1" w14:textId="67F92A11" w:rsidR="005D069A" w:rsidRPr="00BB211C" w:rsidRDefault="002A3841" w:rsidP="00376218">
      <w:pPr>
        <w:spacing w:before="0" w:beforeAutospacing="0" w:after="0" w:afterAutospacing="0" w:line="240" w:lineRule="auto"/>
        <w:ind w:left="20" w:firstLine="700"/>
        <w:jc w:val="both"/>
        <w:rPr>
          <w:rFonts w:asciiTheme="majorBidi" w:hAnsiTheme="majorBidi" w:cstheme="majorBidi"/>
          <w:b/>
          <w:sz w:val="22"/>
          <w:szCs w:val="22"/>
        </w:rPr>
      </w:pPr>
      <w:r w:rsidRPr="00BB211C">
        <w:rPr>
          <w:rFonts w:asciiTheme="majorBidi" w:hAnsiTheme="majorBidi" w:cstheme="majorBidi"/>
          <w:sz w:val="22"/>
          <w:szCs w:val="22"/>
        </w:rPr>
        <w:t xml:space="preserve">Penelitian lain yang terkait dengan penundukan diri ini dilakukan oleh </w:t>
      </w:r>
      <w:r w:rsidR="00F071A1" w:rsidRPr="00BB211C">
        <w:rPr>
          <w:rFonts w:asciiTheme="majorBidi" w:hAnsiTheme="majorBidi" w:cstheme="majorBidi"/>
          <w:sz w:val="22"/>
          <w:szCs w:val="22"/>
        </w:rPr>
        <w:t>Mahmudin</w:t>
      </w:r>
      <w:r w:rsidR="003B05CB" w:rsidRPr="00BB211C">
        <w:rPr>
          <w:rFonts w:asciiTheme="majorBidi" w:hAnsiTheme="majorBidi" w:cstheme="majorBidi"/>
          <w:sz w:val="22"/>
          <w:szCs w:val="22"/>
        </w:rPr>
        <w:t xml:space="preserve"> </w:t>
      </w:r>
      <w:r w:rsidR="00652C37" w:rsidRPr="00BB211C">
        <w:rPr>
          <w:rFonts w:asciiTheme="majorBidi" w:hAnsiTheme="majorBidi" w:cstheme="majorBidi"/>
          <w:sz w:val="22"/>
          <w:szCs w:val="22"/>
        </w:rPr>
        <w:t xml:space="preserve">(2022) </w:t>
      </w:r>
      <w:r w:rsidRPr="00BB211C">
        <w:rPr>
          <w:rFonts w:asciiTheme="majorBidi" w:hAnsiTheme="majorBidi" w:cstheme="majorBidi"/>
          <w:sz w:val="22"/>
          <w:szCs w:val="22"/>
        </w:rPr>
        <w:t>yang menggam</w:t>
      </w:r>
      <w:r w:rsidR="00C9449D" w:rsidRPr="00BB211C">
        <w:rPr>
          <w:rFonts w:asciiTheme="majorBidi" w:hAnsiTheme="majorBidi" w:cstheme="majorBidi"/>
          <w:sz w:val="22"/>
          <w:szCs w:val="22"/>
        </w:rPr>
        <w:t>b</w:t>
      </w:r>
      <w:r w:rsidRPr="00BB211C">
        <w:rPr>
          <w:rFonts w:asciiTheme="majorBidi" w:hAnsiTheme="majorBidi" w:cstheme="majorBidi"/>
          <w:sz w:val="22"/>
          <w:szCs w:val="22"/>
        </w:rPr>
        <w:t>arkan bahwa kecend</w:t>
      </w:r>
      <w:r w:rsidR="00652C37" w:rsidRPr="00BB211C">
        <w:rPr>
          <w:rFonts w:asciiTheme="majorBidi" w:hAnsiTheme="majorBidi" w:cstheme="majorBidi"/>
          <w:sz w:val="22"/>
          <w:szCs w:val="22"/>
        </w:rPr>
        <w:t>e</w:t>
      </w:r>
      <w:r w:rsidRPr="00BB211C">
        <w:rPr>
          <w:rFonts w:asciiTheme="majorBidi" w:hAnsiTheme="majorBidi" w:cstheme="majorBidi"/>
          <w:sz w:val="22"/>
          <w:szCs w:val="22"/>
        </w:rPr>
        <w:t>rungan non</w:t>
      </w:r>
      <w:r w:rsidR="00053E82" w:rsidRPr="00BB211C">
        <w:rPr>
          <w:rFonts w:asciiTheme="majorBidi" w:hAnsiTheme="majorBidi" w:cstheme="majorBidi"/>
          <w:sz w:val="22"/>
          <w:szCs w:val="22"/>
        </w:rPr>
        <w:t>-M</w:t>
      </w:r>
      <w:r w:rsidRPr="00BB211C">
        <w:rPr>
          <w:rFonts w:asciiTheme="majorBidi" w:hAnsiTheme="majorBidi" w:cstheme="majorBidi"/>
          <w:sz w:val="22"/>
          <w:szCs w:val="22"/>
        </w:rPr>
        <w:t xml:space="preserve">uslim untuk menundukan diri adalah karena hukuman di dalam </w:t>
      </w:r>
      <w:r w:rsidR="00F071A1" w:rsidRPr="00BB211C">
        <w:rPr>
          <w:rFonts w:asciiTheme="majorBidi" w:hAnsiTheme="majorBidi" w:cstheme="majorBidi"/>
          <w:sz w:val="22"/>
          <w:szCs w:val="22"/>
        </w:rPr>
        <w:t>Q</w:t>
      </w:r>
      <w:r w:rsidRPr="00BB211C">
        <w:rPr>
          <w:rFonts w:asciiTheme="majorBidi" w:hAnsiTheme="majorBidi" w:cstheme="majorBidi"/>
          <w:sz w:val="22"/>
          <w:szCs w:val="22"/>
        </w:rPr>
        <w:t xml:space="preserve">anun </w:t>
      </w:r>
      <w:r w:rsidR="00F071A1" w:rsidRPr="00BB211C">
        <w:rPr>
          <w:rFonts w:asciiTheme="majorBidi" w:hAnsiTheme="majorBidi" w:cstheme="majorBidi"/>
          <w:sz w:val="22"/>
          <w:szCs w:val="22"/>
        </w:rPr>
        <w:t>J</w:t>
      </w:r>
      <w:r w:rsidRPr="00BB211C">
        <w:rPr>
          <w:rFonts w:asciiTheme="majorBidi" w:hAnsiTheme="majorBidi" w:cstheme="majorBidi"/>
          <w:sz w:val="22"/>
          <w:szCs w:val="22"/>
        </w:rPr>
        <w:t>inaya</w:t>
      </w:r>
      <w:r w:rsidR="00652C37" w:rsidRPr="00BB211C">
        <w:rPr>
          <w:rFonts w:asciiTheme="majorBidi" w:hAnsiTheme="majorBidi" w:cstheme="majorBidi"/>
          <w:sz w:val="22"/>
          <w:szCs w:val="22"/>
        </w:rPr>
        <w:t>t</w:t>
      </w:r>
      <w:r w:rsidRPr="00BB211C">
        <w:rPr>
          <w:rFonts w:asciiTheme="majorBidi" w:hAnsiTheme="majorBidi" w:cstheme="majorBidi"/>
          <w:sz w:val="22"/>
          <w:szCs w:val="22"/>
        </w:rPr>
        <w:t xml:space="preserve"> bersifat instan dan umumnya hakim </w:t>
      </w:r>
      <w:r w:rsidR="00F071A1" w:rsidRPr="00BB211C">
        <w:rPr>
          <w:rFonts w:asciiTheme="majorBidi" w:hAnsiTheme="majorBidi" w:cstheme="majorBidi"/>
          <w:sz w:val="22"/>
          <w:szCs w:val="22"/>
        </w:rPr>
        <w:t xml:space="preserve"> </w:t>
      </w:r>
      <w:r w:rsidRPr="00BB211C">
        <w:rPr>
          <w:rFonts w:asciiTheme="majorBidi" w:hAnsiTheme="majorBidi" w:cstheme="majorBidi"/>
          <w:sz w:val="22"/>
          <w:szCs w:val="22"/>
        </w:rPr>
        <w:t>menjatuhkan pidana cambuk</w:t>
      </w:r>
      <w:r w:rsidR="00652C37" w:rsidRPr="00BB211C">
        <w:rPr>
          <w:rFonts w:asciiTheme="majorBidi" w:hAnsiTheme="majorBidi" w:cstheme="majorBidi"/>
          <w:sz w:val="22"/>
          <w:szCs w:val="22"/>
        </w:rPr>
        <w:t xml:space="preserve"> </w:t>
      </w:r>
      <w:r w:rsidR="00712ED2">
        <w:rPr>
          <w:rStyle w:val="FootnoteReference"/>
          <w:rFonts w:asciiTheme="majorBidi" w:hAnsiTheme="majorBidi" w:cstheme="majorBidi"/>
          <w:sz w:val="22"/>
          <w:szCs w:val="22"/>
        </w:rPr>
        <w:footnoteReference w:id="2"/>
      </w:r>
      <w:r w:rsidR="00652C37" w:rsidRPr="00BB211C">
        <w:rPr>
          <w:rFonts w:asciiTheme="majorBidi" w:hAnsiTheme="majorBidi" w:cstheme="majorBidi"/>
          <w:sz w:val="22"/>
          <w:szCs w:val="22"/>
        </w:rPr>
        <w:t xml:space="preserve">. </w:t>
      </w:r>
      <w:r w:rsidR="00F071A1" w:rsidRPr="00BB211C">
        <w:rPr>
          <w:rFonts w:asciiTheme="majorBidi" w:hAnsiTheme="majorBidi" w:cstheme="majorBidi"/>
          <w:sz w:val="22"/>
          <w:szCs w:val="22"/>
        </w:rPr>
        <w:t>Penelitian yang hamp</w:t>
      </w:r>
      <w:r w:rsidR="00C9449D" w:rsidRPr="00BB211C">
        <w:rPr>
          <w:rFonts w:asciiTheme="majorBidi" w:hAnsiTheme="majorBidi" w:cstheme="majorBidi"/>
          <w:sz w:val="22"/>
          <w:szCs w:val="22"/>
        </w:rPr>
        <w:t>i</w:t>
      </w:r>
      <w:r w:rsidR="00F071A1" w:rsidRPr="00BB211C">
        <w:rPr>
          <w:rFonts w:asciiTheme="majorBidi" w:hAnsiTheme="majorBidi" w:cstheme="majorBidi"/>
          <w:sz w:val="22"/>
          <w:szCs w:val="22"/>
        </w:rPr>
        <w:t>r sama juga dilakukan oleh Abdul Halim</w:t>
      </w:r>
      <w:r w:rsidR="00652C37" w:rsidRPr="00BB211C">
        <w:rPr>
          <w:rFonts w:asciiTheme="majorBidi" w:hAnsiTheme="majorBidi" w:cstheme="majorBidi"/>
          <w:sz w:val="22"/>
          <w:szCs w:val="22"/>
        </w:rPr>
        <w:t>. T</w:t>
      </w:r>
      <w:r w:rsidR="0011706B" w:rsidRPr="00BB211C">
        <w:rPr>
          <w:rFonts w:asciiTheme="majorBidi" w:hAnsiTheme="majorBidi" w:cstheme="majorBidi"/>
          <w:sz w:val="22"/>
          <w:szCs w:val="22"/>
        </w:rPr>
        <w:t>emu</w:t>
      </w:r>
      <w:r w:rsidR="00C9449D" w:rsidRPr="00BB211C">
        <w:rPr>
          <w:rFonts w:asciiTheme="majorBidi" w:hAnsiTheme="majorBidi" w:cstheme="majorBidi"/>
          <w:sz w:val="22"/>
          <w:szCs w:val="22"/>
        </w:rPr>
        <w:t>a</w:t>
      </w:r>
      <w:r w:rsidR="0011706B" w:rsidRPr="00BB211C">
        <w:rPr>
          <w:rFonts w:asciiTheme="majorBidi" w:hAnsiTheme="majorBidi" w:cstheme="majorBidi"/>
          <w:sz w:val="22"/>
          <w:szCs w:val="22"/>
        </w:rPr>
        <w:t>n</w:t>
      </w:r>
      <w:r w:rsidR="00C9449D" w:rsidRPr="00BB211C">
        <w:rPr>
          <w:rFonts w:asciiTheme="majorBidi" w:hAnsiTheme="majorBidi" w:cstheme="majorBidi"/>
          <w:sz w:val="22"/>
          <w:szCs w:val="22"/>
        </w:rPr>
        <w:t>n</w:t>
      </w:r>
      <w:r w:rsidR="0011706B" w:rsidRPr="00BB211C">
        <w:rPr>
          <w:rFonts w:asciiTheme="majorBidi" w:hAnsiTheme="majorBidi" w:cstheme="majorBidi"/>
          <w:sz w:val="22"/>
          <w:szCs w:val="22"/>
        </w:rPr>
        <w:t>ya juga hanya menggambarkan ba</w:t>
      </w:r>
      <w:r w:rsidR="00C9449D" w:rsidRPr="00BB211C">
        <w:rPr>
          <w:rFonts w:asciiTheme="majorBidi" w:hAnsiTheme="majorBidi" w:cstheme="majorBidi"/>
          <w:sz w:val="22"/>
          <w:szCs w:val="22"/>
        </w:rPr>
        <w:t>h</w:t>
      </w:r>
      <w:r w:rsidR="0011706B" w:rsidRPr="00BB211C">
        <w:rPr>
          <w:rFonts w:asciiTheme="majorBidi" w:hAnsiTheme="majorBidi" w:cstheme="majorBidi"/>
          <w:sz w:val="22"/>
          <w:szCs w:val="22"/>
        </w:rPr>
        <w:t xml:space="preserve">wa tidak selamanya penerapan </w:t>
      </w:r>
      <w:r w:rsidR="00652C37" w:rsidRPr="00BB211C">
        <w:rPr>
          <w:rFonts w:asciiTheme="majorBidi" w:hAnsiTheme="majorBidi" w:cstheme="majorBidi"/>
          <w:sz w:val="22"/>
          <w:szCs w:val="22"/>
        </w:rPr>
        <w:t>Q</w:t>
      </w:r>
      <w:r w:rsidR="0011706B" w:rsidRPr="00BB211C">
        <w:rPr>
          <w:rFonts w:asciiTheme="majorBidi" w:hAnsiTheme="majorBidi" w:cstheme="majorBidi"/>
          <w:sz w:val="22"/>
          <w:szCs w:val="22"/>
        </w:rPr>
        <w:t xml:space="preserve">anun </w:t>
      </w:r>
      <w:r w:rsidR="00652C37" w:rsidRPr="00BB211C">
        <w:rPr>
          <w:rFonts w:asciiTheme="majorBidi" w:hAnsiTheme="majorBidi" w:cstheme="majorBidi"/>
          <w:sz w:val="22"/>
          <w:szCs w:val="22"/>
        </w:rPr>
        <w:t>J</w:t>
      </w:r>
      <w:r w:rsidR="0011706B" w:rsidRPr="00BB211C">
        <w:rPr>
          <w:rFonts w:asciiTheme="majorBidi" w:hAnsiTheme="majorBidi" w:cstheme="majorBidi"/>
          <w:sz w:val="22"/>
          <w:szCs w:val="22"/>
        </w:rPr>
        <w:t>inayat bagi non</w:t>
      </w:r>
      <w:r w:rsidR="00053E82" w:rsidRPr="00BB211C">
        <w:rPr>
          <w:rFonts w:asciiTheme="majorBidi" w:hAnsiTheme="majorBidi" w:cstheme="majorBidi"/>
          <w:sz w:val="22"/>
          <w:szCs w:val="22"/>
        </w:rPr>
        <w:t>-M</w:t>
      </w:r>
      <w:r w:rsidR="0011706B" w:rsidRPr="00BB211C">
        <w:rPr>
          <w:rFonts w:asciiTheme="majorBidi" w:hAnsiTheme="majorBidi" w:cstheme="majorBidi"/>
          <w:sz w:val="22"/>
          <w:szCs w:val="22"/>
        </w:rPr>
        <w:t xml:space="preserve">uslim itu negatif dan </w:t>
      </w:r>
      <w:r w:rsidR="0011706B" w:rsidRPr="00BB211C">
        <w:rPr>
          <w:rFonts w:asciiTheme="majorBidi" w:hAnsiTheme="majorBidi" w:cstheme="majorBidi"/>
          <w:sz w:val="22"/>
          <w:szCs w:val="22"/>
        </w:rPr>
        <w:lastRenderedPageBreak/>
        <w:t>mereka memilih</w:t>
      </w:r>
      <w:r w:rsidR="008A2993" w:rsidRPr="00BB211C">
        <w:rPr>
          <w:rFonts w:asciiTheme="majorBidi" w:hAnsiTheme="majorBidi" w:cstheme="majorBidi"/>
          <w:sz w:val="22"/>
          <w:szCs w:val="22"/>
        </w:rPr>
        <w:t xml:space="preserve"> Qanun Jinayat</w:t>
      </w:r>
      <w:r w:rsidR="0011706B" w:rsidRPr="00BB211C">
        <w:rPr>
          <w:rFonts w:asciiTheme="majorBidi" w:hAnsiTheme="majorBidi" w:cstheme="majorBidi"/>
          <w:sz w:val="22"/>
          <w:szCs w:val="22"/>
        </w:rPr>
        <w:t xml:space="preserve"> karena praktis</w:t>
      </w:r>
      <w:r w:rsidR="008A2993" w:rsidRPr="00BB211C">
        <w:rPr>
          <w:rFonts w:asciiTheme="majorBidi" w:hAnsiTheme="majorBidi" w:cstheme="majorBidi"/>
          <w:sz w:val="22"/>
          <w:szCs w:val="22"/>
        </w:rPr>
        <w:t xml:space="preserve"> dan tidak bertele-tele</w:t>
      </w:r>
      <w:r w:rsidR="00652C37" w:rsidRPr="00BB211C">
        <w:rPr>
          <w:rFonts w:asciiTheme="majorBidi" w:hAnsiTheme="majorBidi" w:cstheme="majorBidi"/>
          <w:sz w:val="22"/>
          <w:szCs w:val="22"/>
        </w:rPr>
        <w:t xml:space="preserve"> </w:t>
      </w:r>
      <w:r w:rsidR="00712ED2">
        <w:rPr>
          <w:rStyle w:val="FootnoteReference"/>
          <w:rFonts w:asciiTheme="majorBidi" w:hAnsiTheme="majorBidi" w:cstheme="majorBidi"/>
          <w:sz w:val="22"/>
          <w:szCs w:val="22"/>
        </w:rPr>
        <w:footnoteReference w:id="3"/>
      </w:r>
      <w:r w:rsidR="008A2993" w:rsidRPr="00BB211C">
        <w:rPr>
          <w:rFonts w:asciiTheme="majorBidi" w:hAnsiTheme="majorBidi" w:cstheme="majorBidi"/>
          <w:sz w:val="22"/>
          <w:szCs w:val="22"/>
        </w:rPr>
        <w:t>.</w:t>
      </w:r>
      <w:r w:rsidR="0011706B" w:rsidRPr="00BB211C">
        <w:rPr>
          <w:rFonts w:asciiTheme="majorBidi" w:hAnsiTheme="majorBidi" w:cstheme="majorBidi"/>
          <w:sz w:val="22"/>
          <w:szCs w:val="22"/>
        </w:rPr>
        <w:t xml:space="preserve"> </w:t>
      </w:r>
      <w:r w:rsidR="008A2993" w:rsidRPr="00BB211C">
        <w:rPr>
          <w:rFonts w:asciiTheme="majorBidi" w:hAnsiTheme="majorBidi" w:cstheme="majorBidi"/>
          <w:sz w:val="22"/>
          <w:szCs w:val="22"/>
        </w:rPr>
        <w:t xml:space="preserve">Terkesan di sini bahwa </w:t>
      </w:r>
      <w:r w:rsidR="00C9449D" w:rsidRPr="00BB211C">
        <w:rPr>
          <w:rFonts w:asciiTheme="majorBidi" w:hAnsiTheme="majorBidi" w:cstheme="majorBidi"/>
          <w:sz w:val="22"/>
          <w:szCs w:val="22"/>
        </w:rPr>
        <w:t>d</w:t>
      </w:r>
      <w:r w:rsidR="0011706B" w:rsidRPr="00BB211C">
        <w:rPr>
          <w:rFonts w:asciiTheme="majorBidi" w:hAnsiTheme="majorBidi" w:cstheme="majorBidi"/>
          <w:sz w:val="22"/>
          <w:szCs w:val="22"/>
        </w:rPr>
        <w:t>ari</w:t>
      </w:r>
      <w:r w:rsidR="008A2993" w:rsidRPr="00BB211C">
        <w:rPr>
          <w:rFonts w:asciiTheme="majorBidi" w:hAnsiTheme="majorBidi" w:cstheme="majorBidi"/>
          <w:sz w:val="22"/>
          <w:szCs w:val="22"/>
        </w:rPr>
        <w:t xml:space="preserve"> </w:t>
      </w:r>
      <w:r w:rsidR="0011706B" w:rsidRPr="00BB211C">
        <w:rPr>
          <w:rFonts w:asciiTheme="majorBidi" w:hAnsiTheme="majorBidi" w:cstheme="majorBidi"/>
          <w:sz w:val="22"/>
          <w:szCs w:val="22"/>
        </w:rPr>
        <w:t xml:space="preserve"> beberapa hasil penelitian yang ditelusuri, belum ada pengkajian tentang bagaimana penerapan keistemewaan hukum pidana yang bersifat publik yang memberi </w:t>
      </w:r>
      <w:r w:rsidR="00EA1083" w:rsidRPr="00BB211C">
        <w:rPr>
          <w:rFonts w:asciiTheme="majorBidi" w:hAnsiTheme="majorBidi" w:cstheme="majorBidi"/>
          <w:sz w:val="22"/>
          <w:szCs w:val="22"/>
        </w:rPr>
        <w:t>kesempatan</w:t>
      </w:r>
      <w:r w:rsidR="0011706B" w:rsidRPr="00BB211C">
        <w:rPr>
          <w:rFonts w:asciiTheme="majorBidi" w:hAnsiTheme="majorBidi" w:cstheme="majorBidi"/>
          <w:sz w:val="22"/>
          <w:szCs w:val="22"/>
        </w:rPr>
        <w:t xml:space="preserve"> kepada pelanggar hukum pidana diberi kebeb</w:t>
      </w:r>
      <w:r w:rsidR="00D61B51" w:rsidRPr="00BB211C">
        <w:rPr>
          <w:rFonts w:asciiTheme="majorBidi" w:hAnsiTheme="majorBidi" w:cstheme="majorBidi"/>
          <w:sz w:val="22"/>
          <w:szCs w:val="22"/>
        </w:rPr>
        <w:t>a</w:t>
      </w:r>
      <w:r w:rsidR="0011706B" w:rsidRPr="00BB211C">
        <w:rPr>
          <w:rFonts w:asciiTheme="majorBidi" w:hAnsiTheme="majorBidi" w:cstheme="majorBidi"/>
          <w:sz w:val="22"/>
          <w:szCs w:val="22"/>
        </w:rPr>
        <w:t>san untuk memilih</w:t>
      </w:r>
      <w:r w:rsidR="004B3C5C" w:rsidRPr="00BB211C">
        <w:rPr>
          <w:rFonts w:asciiTheme="majorBidi" w:hAnsiTheme="majorBidi" w:cstheme="majorBidi"/>
          <w:sz w:val="22"/>
          <w:szCs w:val="22"/>
        </w:rPr>
        <w:t>.</w:t>
      </w:r>
      <w:r w:rsidR="0011706B" w:rsidRPr="00BB211C">
        <w:rPr>
          <w:rFonts w:asciiTheme="majorBidi" w:hAnsiTheme="majorBidi" w:cstheme="majorBidi"/>
          <w:sz w:val="22"/>
          <w:szCs w:val="22"/>
        </w:rPr>
        <w:t xml:space="preserve"> </w:t>
      </w:r>
      <w:r w:rsidR="004B3C5C" w:rsidRPr="00BB211C">
        <w:rPr>
          <w:rFonts w:asciiTheme="majorBidi" w:hAnsiTheme="majorBidi" w:cstheme="majorBidi"/>
          <w:sz w:val="22"/>
          <w:szCs w:val="22"/>
          <w:lang w:val="en-US"/>
        </w:rPr>
        <w:t>A</w:t>
      </w:r>
      <w:r w:rsidR="008A2993" w:rsidRPr="00BB211C">
        <w:rPr>
          <w:rFonts w:asciiTheme="majorBidi" w:hAnsiTheme="majorBidi" w:cstheme="majorBidi"/>
          <w:sz w:val="22"/>
          <w:szCs w:val="22"/>
        </w:rPr>
        <w:t xml:space="preserve">da kesan bahwa Qanun </w:t>
      </w:r>
      <w:r w:rsidR="008014F9" w:rsidRPr="00BB211C">
        <w:rPr>
          <w:rFonts w:asciiTheme="majorBidi" w:hAnsiTheme="majorBidi" w:cstheme="majorBidi"/>
          <w:sz w:val="22"/>
          <w:szCs w:val="22"/>
        </w:rPr>
        <w:t>J</w:t>
      </w:r>
      <w:r w:rsidR="008A2993" w:rsidRPr="00BB211C">
        <w:rPr>
          <w:rFonts w:asciiTheme="majorBidi" w:hAnsiTheme="majorBidi" w:cstheme="majorBidi"/>
          <w:sz w:val="22"/>
          <w:szCs w:val="22"/>
        </w:rPr>
        <w:t>inayat identi</w:t>
      </w:r>
      <w:r w:rsidR="00C9449D" w:rsidRPr="00BB211C">
        <w:rPr>
          <w:rFonts w:asciiTheme="majorBidi" w:hAnsiTheme="majorBidi" w:cstheme="majorBidi"/>
          <w:sz w:val="22"/>
          <w:szCs w:val="22"/>
        </w:rPr>
        <w:t>k</w:t>
      </w:r>
      <w:r w:rsidR="008A2993" w:rsidRPr="00BB211C">
        <w:rPr>
          <w:rFonts w:asciiTheme="majorBidi" w:hAnsiTheme="majorBidi" w:cstheme="majorBidi"/>
          <w:sz w:val="22"/>
          <w:szCs w:val="22"/>
        </w:rPr>
        <w:t xml:space="preserve"> dengan pidana cambuk</w:t>
      </w:r>
      <w:r w:rsidR="004B3C5C" w:rsidRPr="00BB211C">
        <w:rPr>
          <w:rFonts w:asciiTheme="majorBidi" w:hAnsiTheme="majorBidi" w:cstheme="majorBidi"/>
          <w:sz w:val="22"/>
          <w:szCs w:val="22"/>
          <w:lang w:val="en-US"/>
        </w:rPr>
        <w:t xml:space="preserve">, </w:t>
      </w:r>
      <w:r w:rsidR="00DE1E2C" w:rsidRPr="00BB211C">
        <w:rPr>
          <w:rFonts w:asciiTheme="majorBidi" w:hAnsiTheme="majorBidi" w:cstheme="majorBidi"/>
          <w:sz w:val="22"/>
          <w:szCs w:val="22"/>
        </w:rPr>
        <w:t>sehingga penundukan diri itu terjadi karena ingin d</w:t>
      </w:r>
      <w:r w:rsidR="008014F9" w:rsidRPr="00BB211C">
        <w:rPr>
          <w:rFonts w:asciiTheme="majorBidi" w:hAnsiTheme="majorBidi" w:cstheme="majorBidi"/>
          <w:sz w:val="22"/>
          <w:szCs w:val="22"/>
        </w:rPr>
        <w:t>i</w:t>
      </w:r>
      <w:r w:rsidR="00DE1E2C" w:rsidRPr="00BB211C">
        <w:rPr>
          <w:rFonts w:asciiTheme="majorBidi" w:hAnsiTheme="majorBidi" w:cstheme="majorBidi"/>
          <w:sz w:val="22"/>
          <w:szCs w:val="22"/>
        </w:rPr>
        <w:t xml:space="preserve">kenakan pidana cambuk. </w:t>
      </w:r>
      <w:r w:rsidR="008A2993" w:rsidRPr="00BB211C">
        <w:rPr>
          <w:rFonts w:asciiTheme="majorBidi" w:hAnsiTheme="majorBidi" w:cstheme="majorBidi"/>
          <w:sz w:val="22"/>
          <w:szCs w:val="22"/>
        </w:rPr>
        <w:t xml:space="preserve"> Oleh </w:t>
      </w:r>
      <w:r w:rsidR="0011706B" w:rsidRPr="00BB211C">
        <w:rPr>
          <w:rFonts w:asciiTheme="majorBidi" w:hAnsiTheme="majorBidi" w:cstheme="majorBidi"/>
          <w:sz w:val="22"/>
          <w:szCs w:val="22"/>
        </w:rPr>
        <w:t>karena itu, maka t</w:t>
      </w:r>
      <w:r w:rsidR="005D069A" w:rsidRPr="00BB211C">
        <w:rPr>
          <w:rFonts w:asciiTheme="majorBidi" w:hAnsiTheme="majorBidi" w:cstheme="majorBidi"/>
          <w:sz w:val="22"/>
          <w:szCs w:val="22"/>
        </w:rPr>
        <w:t xml:space="preserve">ujuan dari pengkajian ini adalah melihat </w:t>
      </w:r>
      <w:r w:rsidR="00A83B10" w:rsidRPr="00BB211C">
        <w:rPr>
          <w:rFonts w:asciiTheme="majorBidi" w:hAnsiTheme="majorBidi" w:cstheme="majorBidi"/>
          <w:sz w:val="22"/>
          <w:szCs w:val="22"/>
        </w:rPr>
        <w:t xml:space="preserve">bagaimana konsep penundukan diri di dalam hukum pidana </w:t>
      </w:r>
      <w:r w:rsidR="008A2993" w:rsidRPr="00BB211C">
        <w:rPr>
          <w:rFonts w:asciiTheme="majorBidi" w:hAnsiTheme="majorBidi" w:cstheme="majorBidi"/>
          <w:sz w:val="22"/>
          <w:szCs w:val="22"/>
        </w:rPr>
        <w:t xml:space="preserve">(Qanun Jinayat) </w:t>
      </w:r>
      <w:r w:rsidR="00A83B10" w:rsidRPr="00BB211C">
        <w:rPr>
          <w:rFonts w:asciiTheme="majorBidi" w:hAnsiTheme="majorBidi" w:cstheme="majorBidi"/>
          <w:sz w:val="22"/>
          <w:szCs w:val="22"/>
        </w:rPr>
        <w:t>dan bagaimana penundukan diri</w:t>
      </w:r>
      <w:r w:rsidR="008A2993" w:rsidRPr="00BB211C">
        <w:rPr>
          <w:rFonts w:asciiTheme="majorBidi" w:hAnsiTheme="majorBidi" w:cstheme="majorBidi"/>
          <w:sz w:val="22"/>
          <w:szCs w:val="22"/>
        </w:rPr>
        <w:t xml:space="preserve"> itu dilihat </w:t>
      </w:r>
      <w:r w:rsidR="00A83B10" w:rsidRPr="00BB211C">
        <w:rPr>
          <w:rFonts w:asciiTheme="majorBidi" w:hAnsiTheme="majorBidi" w:cstheme="majorBidi"/>
          <w:sz w:val="22"/>
          <w:szCs w:val="22"/>
        </w:rPr>
        <w:t xml:space="preserve"> dari perspektif </w:t>
      </w:r>
      <w:r w:rsidR="005D069A" w:rsidRPr="00BB211C">
        <w:rPr>
          <w:rFonts w:asciiTheme="majorBidi" w:hAnsiTheme="majorBidi" w:cstheme="majorBidi"/>
          <w:sz w:val="22"/>
          <w:szCs w:val="22"/>
        </w:rPr>
        <w:t>politik hukum</w:t>
      </w:r>
      <w:r w:rsidR="00A83B10" w:rsidRPr="00BB211C">
        <w:rPr>
          <w:rFonts w:asciiTheme="majorBidi" w:hAnsiTheme="majorBidi" w:cstheme="majorBidi"/>
          <w:sz w:val="22"/>
          <w:szCs w:val="22"/>
        </w:rPr>
        <w:t xml:space="preserve"> di Aceh</w:t>
      </w:r>
      <w:r w:rsidR="00C9449D" w:rsidRPr="00BB211C">
        <w:rPr>
          <w:rFonts w:asciiTheme="majorBidi" w:hAnsiTheme="majorBidi" w:cstheme="majorBidi"/>
          <w:sz w:val="22"/>
          <w:szCs w:val="22"/>
        </w:rPr>
        <w:t>.</w:t>
      </w:r>
      <w:r w:rsidR="005D069A" w:rsidRPr="00BB211C">
        <w:rPr>
          <w:rFonts w:asciiTheme="majorBidi" w:hAnsiTheme="majorBidi" w:cstheme="majorBidi"/>
          <w:sz w:val="22"/>
          <w:szCs w:val="22"/>
        </w:rPr>
        <w:t xml:space="preserve"> </w:t>
      </w:r>
    </w:p>
    <w:p w14:paraId="6B6B999C" w14:textId="77777777" w:rsidR="00376218" w:rsidRPr="00BB211C" w:rsidRDefault="00376218" w:rsidP="00376218">
      <w:pPr>
        <w:spacing w:before="0" w:beforeAutospacing="0" w:after="0" w:afterAutospacing="0" w:line="240" w:lineRule="auto"/>
        <w:jc w:val="both"/>
        <w:rPr>
          <w:rFonts w:asciiTheme="majorBidi" w:hAnsiTheme="majorBidi" w:cstheme="majorBidi"/>
          <w:b/>
          <w:sz w:val="22"/>
          <w:szCs w:val="22"/>
        </w:rPr>
      </w:pPr>
    </w:p>
    <w:p w14:paraId="418865A0" w14:textId="501C34F9" w:rsidR="000B1040" w:rsidRPr="00BB211C" w:rsidRDefault="000B1040" w:rsidP="00BB211C">
      <w:pPr>
        <w:pStyle w:val="ListParagraph"/>
        <w:numPr>
          <w:ilvl w:val="0"/>
          <w:numId w:val="10"/>
        </w:numPr>
        <w:spacing w:before="0" w:beforeAutospacing="0" w:after="0" w:afterAutospacing="0" w:line="240" w:lineRule="auto"/>
        <w:ind w:left="426" w:hanging="426"/>
        <w:jc w:val="both"/>
        <w:rPr>
          <w:rFonts w:asciiTheme="majorBidi" w:hAnsiTheme="majorBidi" w:cstheme="majorBidi"/>
          <w:b/>
          <w:sz w:val="22"/>
          <w:szCs w:val="22"/>
        </w:rPr>
      </w:pPr>
      <w:r w:rsidRPr="00BB211C">
        <w:rPr>
          <w:rFonts w:asciiTheme="majorBidi" w:hAnsiTheme="majorBidi" w:cstheme="majorBidi"/>
          <w:b/>
          <w:sz w:val="22"/>
          <w:szCs w:val="22"/>
        </w:rPr>
        <w:t>Met</w:t>
      </w:r>
      <w:r w:rsidR="00376218" w:rsidRPr="00BB211C">
        <w:rPr>
          <w:rFonts w:asciiTheme="majorBidi" w:hAnsiTheme="majorBidi" w:cstheme="majorBidi"/>
          <w:b/>
          <w:sz w:val="22"/>
          <w:szCs w:val="22"/>
          <w:lang w:val="en-US"/>
        </w:rPr>
        <w:t>ode Penelitian</w:t>
      </w:r>
    </w:p>
    <w:p w14:paraId="5C7BBD8D" w14:textId="03AA2518" w:rsidR="000B1040" w:rsidRPr="00BB211C" w:rsidRDefault="000B1040" w:rsidP="00376218">
      <w:pPr>
        <w:spacing w:before="0" w:beforeAutospacing="0" w:after="0" w:afterAutospacing="0" w:line="240" w:lineRule="auto"/>
        <w:ind w:firstLine="720"/>
        <w:jc w:val="both"/>
        <w:rPr>
          <w:rFonts w:asciiTheme="majorBidi" w:hAnsiTheme="majorBidi" w:cstheme="majorBidi"/>
          <w:sz w:val="22"/>
          <w:szCs w:val="22"/>
          <w:lang w:val="en-US"/>
        </w:rPr>
      </w:pPr>
      <w:r w:rsidRPr="00BB211C">
        <w:rPr>
          <w:rFonts w:asciiTheme="majorBidi" w:hAnsiTheme="majorBidi" w:cstheme="majorBidi"/>
          <w:sz w:val="22"/>
          <w:szCs w:val="22"/>
        </w:rPr>
        <w:t>Sebagaimana disebutkan di atas, tema ini diangkat karena kajian para ahli tentang keberadaan non</w:t>
      </w:r>
      <w:r w:rsidR="00D61B51" w:rsidRPr="00BB211C">
        <w:rPr>
          <w:rFonts w:asciiTheme="majorBidi" w:hAnsiTheme="majorBidi" w:cstheme="majorBidi"/>
          <w:sz w:val="22"/>
          <w:szCs w:val="22"/>
        </w:rPr>
        <w:t>-</w:t>
      </w:r>
      <w:r w:rsidR="00053E82" w:rsidRPr="00BB211C">
        <w:rPr>
          <w:rFonts w:asciiTheme="majorBidi" w:hAnsiTheme="majorBidi" w:cstheme="majorBidi"/>
          <w:sz w:val="22"/>
          <w:szCs w:val="22"/>
          <w:lang w:val="en-US"/>
        </w:rPr>
        <w:t>M</w:t>
      </w:r>
      <w:r w:rsidRPr="00BB211C">
        <w:rPr>
          <w:rFonts w:asciiTheme="majorBidi" w:hAnsiTheme="majorBidi" w:cstheme="majorBidi"/>
          <w:sz w:val="22"/>
          <w:szCs w:val="22"/>
        </w:rPr>
        <w:t xml:space="preserve">uslim di Aceh terbatas pada uraian yang didekati dengan norma Qanun itu sendiri, baik dilihat dari sistem perundangan di Indonesia maupun dari sudut pandang Hak Asasi Manusia dan asas </w:t>
      </w:r>
      <w:r w:rsidRPr="00BB211C">
        <w:rPr>
          <w:rFonts w:asciiTheme="majorBidi" w:hAnsiTheme="majorBidi" w:cstheme="majorBidi"/>
          <w:i/>
          <w:sz w:val="22"/>
          <w:szCs w:val="22"/>
        </w:rPr>
        <w:t>equality before the law</w:t>
      </w:r>
      <w:r w:rsidRPr="00BB211C">
        <w:rPr>
          <w:rFonts w:asciiTheme="majorBidi" w:hAnsiTheme="majorBidi" w:cstheme="majorBidi"/>
          <w:sz w:val="22"/>
          <w:szCs w:val="22"/>
        </w:rPr>
        <w:t xml:space="preserve">. Artikel ini mencoba melihat masalah ini dari sudut pandang karakter hukum pidana sendiri, yaitu penubuhannya dan prinsip-prinsip pidana itu sendiri. </w:t>
      </w:r>
      <w:r w:rsidR="008A2993" w:rsidRPr="00BB211C">
        <w:rPr>
          <w:rFonts w:asciiTheme="majorBidi" w:hAnsiTheme="majorBidi" w:cstheme="majorBidi"/>
          <w:sz w:val="22"/>
          <w:szCs w:val="22"/>
        </w:rPr>
        <w:t xml:space="preserve">Dengan demikian, maka penelitian tergolong kepada penelitian Yuridis Normatif. </w:t>
      </w:r>
      <w:r w:rsidRPr="00BB211C">
        <w:rPr>
          <w:rFonts w:asciiTheme="majorBidi" w:hAnsiTheme="majorBidi" w:cstheme="majorBidi"/>
          <w:sz w:val="22"/>
          <w:szCs w:val="22"/>
        </w:rPr>
        <w:t xml:space="preserve">Data </w:t>
      </w:r>
      <w:r w:rsidR="008A2993" w:rsidRPr="00BB211C">
        <w:rPr>
          <w:rFonts w:asciiTheme="majorBidi" w:hAnsiTheme="majorBidi" w:cstheme="majorBidi"/>
          <w:sz w:val="22"/>
          <w:szCs w:val="22"/>
        </w:rPr>
        <w:t xml:space="preserve">utama dalam penelitian ini adalah data skunder yang </w:t>
      </w:r>
      <w:r w:rsidRPr="00BB211C">
        <w:rPr>
          <w:rFonts w:asciiTheme="majorBidi" w:hAnsiTheme="majorBidi" w:cstheme="majorBidi"/>
          <w:sz w:val="22"/>
          <w:szCs w:val="22"/>
        </w:rPr>
        <w:t xml:space="preserve">diperoleh melalui proses studi kualitatif yang bersumber dari bahan-bahan </w:t>
      </w:r>
      <w:r w:rsidR="008A2993" w:rsidRPr="00BB211C">
        <w:rPr>
          <w:rFonts w:asciiTheme="majorBidi" w:hAnsiTheme="majorBidi" w:cstheme="majorBidi"/>
          <w:sz w:val="22"/>
          <w:szCs w:val="22"/>
        </w:rPr>
        <w:t>hukum primer berupa perun</w:t>
      </w:r>
      <w:r w:rsidR="008A2993" w:rsidRPr="00BB211C">
        <w:rPr>
          <w:rFonts w:asciiTheme="majorBidi" w:hAnsiTheme="majorBidi" w:cstheme="majorBidi"/>
          <w:sz w:val="22"/>
          <w:szCs w:val="22"/>
          <w:lang w:val="en-US"/>
        </w:rPr>
        <w:t xml:space="preserve">dang-undangan, bahan hukum skunder berupa </w:t>
      </w:r>
      <w:r w:rsidR="00C30D23" w:rsidRPr="00BB211C">
        <w:rPr>
          <w:rFonts w:asciiTheme="majorBidi" w:hAnsiTheme="majorBidi" w:cstheme="majorBidi"/>
          <w:sz w:val="22"/>
          <w:szCs w:val="22"/>
          <w:lang w:val="en-US"/>
        </w:rPr>
        <w:t>kajian literatur (buku, jurnall) dan bahan hukum tertier berupa kamus dan insiklopedia.</w:t>
      </w:r>
      <w:r w:rsidRPr="00BB211C">
        <w:rPr>
          <w:rFonts w:asciiTheme="majorBidi" w:hAnsiTheme="majorBidi" w:cstheme="majorBidi"/>
          <w:sz w:val="22"/>
          <w:szCs w:val="22"/>
        </w:rPr>
        <w:t xml:space="preserve"> Data penelitian dianalisis mengikut tiga tahapan analisis (Huberman, 1992) yaitu reduksi data, display, dan verifikasi data. Data yang sudah diverifikasi dianalisis menggunakan konsep politik hukum dan asas hukum pidana.</w:t>
      </w:r>
    </w:p>
    <w:p w14:paraId="0E863C7A" w14:textId="77777777" w:rsidR="00D61B51" w:rsidRPr="00BB211C" w:rsidRDefault="00D61B51" w:rsidP="00C9449D">
      <w:pPr>
        <w:spacing w:before="120" w:beforeAutospacing="0" w:after="120" w:afterAutospacing="0" w:line="240" w:lineRule="auto"/>
        <w:jc w:val="both"/>
        <w:rPr>
          <w:rFonts w:asciiTheme="majorBidi" w:hAnsiTheme="majorBidi" w:cstheme="majorBidi"/>
          <w:b/>
          <w:sz w:val="22"/>
          <w:szCs w:val="22"/>
          <w:lang w:val="en-US"/>
        </w:rPr>
      </w:pPr>
    </w:p>
    <w:p w14:paraId="1223AF4E" w14:textId="18556ADF" w:rsidR="005D069A" w:rsidRPr="00BB211C" w:rsidRDefault="00BB211C" w:rsidP="00BB211C">
      <w:pPr>
        <w:pStyle w:val="ListParagraph"/>
        <w:numPr>
          <w:ilvl w:val="0"/>
          <w:numId w:val="10"/>
        </w:numPr>
        <w:spacing w:before="120" w:beforeAutospacing="0" w:after="120" w:afterAutospacing="0" w:line="240" w:lineRule="auto"/>
        <w:ind w:left="426" w:hanging="426"/>
        <w:jc w:val="both"/>
        <w:rPr>
          <w:rFonts w:asciiTheme="majorBidi" w:hAnsiTheme="majorBidi" w:cstheme="majorBidi"/>
          <w:b/>
          <w:sz w:val="22"/>
          <w:szCs w:val="22"/>
        </w:rPr>
      </w:pPr>
      <w:r w:rsidRPr="00BB211C">
        <w:rPr>
          <w:rFonts w:asciiTheme="majorBidi" w:hAnsiTheme="majorBidi" w:cstheme="majorBidi"/>
          <w:b/>
          <w:sz w:val="22"/>
          <w:szCs w:val="22"/>
        </w:rPr>
        <w:t xml:space="preserve">Hasil </w:t>
      </w:r>
      <w:r w:rsidRPr="00BB211C">
        <w:rPr>
          <w:rFonts w:asciiTheme="majorBidi" w:hAnsiTheme="majorBidi" w:cstheme="majorBidi"/>
          <w:b/>
          <w:sz w:val="22"/>
          <w:szCs w:val="22"/>
          <w:lang w:val="en-US"/>
        </w:rPr>
        <w:t>d</w:t>
      </w:r>
      <w:r w:rsidRPr="00BB211C">
        <w:rPr>
          <w:rFonts w:asciiTheme="majorBidi" w:hAnsiTheme="majorBidi" w:cstheme="majorBidi"/>
          <w:b/>
          <w:sz w:val="22"/>
          <w:szCs w:val="22"/>
        </w:rPr>
        <w:t>an Pembahasan</w:t>
      </w:r>
    </w:p>
    <w:p w14:paraId="7E08F815" w14:textId="79AC9AF4" w:rsidR="005D069A" w:rsidRPr="00BB211C" w:rsidRDefault="005D069A" w:rsidP="00BB211C">
      <w:pPr>
        <w:pStyle w:val="ListParagraph"/>
        <w:numPr>
          <w:ilvl w:val="1"/>
          <w:numId w:val="10"/>
        </w:numPr>
        <w:spacing w:before="0" w:beforeAutospacing="0" w:after="0" w:afterAutospacing="0" w:line="240" w:lineRule="auto"/>
        <w:ind w:left="426" w:hanging="426"/>
        <w:jc w:val="both"/>
        <w:rPr>
          <w:rFonts w:asciiTheme="majorBidi" w:hAnsiTheme="majorBidi" w:cstheme="majorBidi"/>
          <w:b/>
          <w:sz w:val="22"/>
          <w:szCs w:val="22"/>
        </w:rPr>
      </w:pPr>
      <w:r w:rsidRPr="00BB211C">
        <w:rPr>
          <w:rFonts w:asciiTheme="majorBidi" w:hAnsiTheme="majorBidi" w:cstheme="majorBidi"/>
          <w:b/>
          <w:sz w:val="22"/>
          <w:szCs w:val="22"/>
        </w:rPr>
        <w:t>Penundukan Diri</w:t>
      </w:r>
      <w:r w:rsidR="00A83B10" w:rsidRPr="00BB211C">
        <w:rPr>
          <w:rFonts w:asciiTheme="majorBidi" w:hAnsiTheme="majorBidi" w:cstheme="majorBidi"/>
          <w:b/>
          <w:sz w:val="22"/>
          <w:szCs w:val="22"/>
        </w:rPr>
        <w:t xml:space="preserve">  dan </w:t>
      </w:r>
      <w:r w:rsidR="00563103" w:rsidRPr="00BB211C">
        <w:rPr>
          <w:rFonts w:asciiTheme="majorBidi" w:hAnsiTheme="majorBidi" w:cstheme="majorBidi"/>
          <w:b/>
          <w:sz w:val="22"/>
          <w:szCs w:val="22"/>
          <w:lang w:val="en-US"/>
        </w:rPr>
        <w:t>A</w:t>
      </w:r>
      <w:r w:rsidR="00A83B10" w:rsidRPr="00BB211C">
        <w:rPr>
          <w:rFonts w:asciiTheme="majorBidi" w:hAnsiTheme="majorBidi" w:cstheme="majorBidi"/>
          <w:b/>
          <w:sz w:val="22"/>
          <w:szCs w:val="22"/>
        </w:rPr>
        <w:t>sas-</w:t>
      </w:r>
      <w:r w:rsidR="00563103" w:rsidRPr="00BB211C">
        <w:rPr>
          <w:rFonts w:asciiTheme="majorBidi" w:hAnsiTheme="majorBidi" w:cstheme="majorBidi"/>
          <w:b/>
          <w:sz w:val="22"/>
          <w:szCs w:val="22"/>
          <w:lang w:val="en-US"/>
        </w:rPr>
        <w:t>A</w:t>
      </w:r>
      <w:r w:rsidR="00A83B10" w:rsidRPr="00BB211C">
        <w:rPr>
          <w:rFonts w:asciiTheme="majorBidi" w:hAnsiTheme="majorBidi" w:cstheme="majorBidi"/>
          <w:b/>
          <w:sz w:val="22"/>
          <w:szCs w:val="22"/>
        </w:rPr>
        <w:t xml:space="preserve">sas </w:t>
      </w:r>
      <w:r w:rsidR="00563103" w:rsidRPr="00BB211C">
        <w:rPr>
          <w:rFonts w:asciiTheme="majorBidi" w:hAnsiTheme="majorBidi" w:cstheme="majorBidi"/>
          <w:b/>
          <w:sz w:val="22"/>
          <w:szCs w:val="22"/>
          <w:lang w:val="en-US"/>
        </w:rPr>
        <w:t>H</w:t>
      </w:r>
      <w:r w:rsidR="00A83B10" w:rsidRPr="00BB211C">
        <w:rPr>
          <w:rFonts w:asciiTheme="majorBidi" w:hAnsiTheme="majorBidi" w:cstheme="majorBidi"/>
          <w:b/>
          <w:sz w:val="22"/>
          <w:szCs w:val="22"/>
        </w:rPr>
        <w:t xml:space="preserve">ukum </w:t>
      </w:r>
      <w:r w:rsidR="00563103" w:rsidRPr="00BB211C">
        <w:rPr>
          <w:rFonts w:asciiTheme="majorBidi" w:hAnsiTheme="majorBidi" w:cstheme="majorBidi"/>
          <w:b/>
          <w:sz w:val="22"/>
          <w:szCs w:val="22"/>
          <w:lang w:val="en-US"/>
        </w:rPr>
        <w:t>P</w:t>
      </w:r>
      <w:r w:rsidR="00A83B10" w:rsidRPr="00BB211C">
        <w:rPr>
          <w:rFonts w:asciiTheme="majorBidi" w:hAnsiTheme="majorBidi" w:cstheme="majorBidi"/>
          <w:b/>
          <w:sz w:val="22"/>
          <w:szCs w:val="22"/>
        </w:rPr>
        <w:t>idana</w:t>
      </w:r>
    </w:p>
    <w:p w14:paraId="39223909" w14:textId="0F705CFA" w:rsidR="005D069A" w:rsidRPr="00BB211C" w:rsidRDefault="005D069A" w:rsidP="00376218">
      <w:pPr>
        <w:spacing w:before="0" w:beforeAutospacing="0" w:after="0" w:afterAutospacing="0" w:line="240" w:lineRule="auto"/>
        <w:ind w:firstLine="720"/>
        <w:jc w:val="both"/>
        <w:rPr>
          <w:rFonts w:asciiTheme="majorBidi" w:hAnsiTheme="majorBidi" w:cstheme="majorBidi"/>
          <w:sz w:val="22"/>
          <w:szCs w:val="22"/>
        </w:rPr>
      </w:pPr>
      <w:r w:rsidRPr="00BB211C">
        <w:rPr>
          <w:rFonts w:asciiTheme="majorBidi" w:hAnsiTheme="majorBidi" w:cstheme="majorBidi"/>
          <w:sz w:val="22"/>
          <w:szCs w:val="22"/>
        </w:rPr>
        <w:t>Penundukan diri atau pilihan hukum (</w:t>
      </w:r>
      <w:r w:rsidRPr="00BB211C">
        <w:rPr>
          <w:rFonts w:asciiTheme="majorBidi" w:hAnsiTheme="majorBidi" w:cstheme="majorBidi"/>
          <w:i/>
          <w:sz w:val="22"/>
          <w:szCs w:val="22"/>
        </w:rPr>
        <w:t>choice of law</w:t>
      </w:r>
      <w:r w:rsidRPr="00BB211C">
        <w:rPr>
          <w:rFonts w:asciiTheme="majorBidi" w:hAnsiTheme="majorBidi" w:cstheme="majorBidi"/>
          <w:sz w:val="22"/>
          <w:szCs w:val="22"/>
        </w:rPr>
        <w:t xml:space="preserve">) adalah teori pilihan aturan untuk konflik hukum yang banyak digunakan sebagai regulasi </w:t>
      </w:r>
      <w:r w:rsidRPr="00BB211C">
        <w:rPr>
          <w:rFonts w:asciiTheme="majorBidi" w:hAnsiTheme="majorBidi" w:cstheme="majorBidi"/>
          <w:i/>
          <w:sz w:val="22"/>
          <w:szCs w:val="22"/>
        </w:rPr>
        <w:t>specific ex ante</w:t>
      </w:r>
      <w:r w:rsidRPr="00BB211C">
        <w:rPr>
          <w:rFonts w:asciiTheme="majorBidi" w:hAnsiTheme="majorBidi" w:cstheme="majorBidi"/>
          <w:sz w:val="22"/>
          <w:szCs w:val="22"/>
        </w:rPr>
        <w:t xml:space="preserve"> (dari sebelumnya?) (Hook, 2015). Teori ini antara lain dikemukakan oleh Carl von Savigny; didasarkan pada prinsip pengorganisasian tunggal 'penyerahan sukarela' (</w:t>
      </w:r>
      <w:r w:rsidRPr="00BB211C">
        <w:rPr>
          <w:rFonts w:asciiTheme="majorBidi" w:hAnsiTheme="majorBidi" w:cstheme="majorBidi"/>
          <w:i/>
          <w:sz w:val="22"/>
          <w:szCs w:val="22"/>
        </w:rPr>
        <w:t>voluntary submission</w:t>
      </w:r>
      <w:r w:rsidRPr="00BB211C">
        <w:rPr>
          <w:rFonts w:asciiTheme="majorBidi" w:hAnsiTheme="majorBidi" w:cstheme="majorBidi"/>
          <w:sz w:val="22"/>
          <w:szCs w:val="22"/>
        </w:rPr>
        <w:t>) sebagai refleksi dari pilihan seseorang  (Peari, 2014). Secara historis, penundukan diri telah menjadi salah satu bidang hukum perdata internasional yang paling meresahkan di yurisdiksi hukum Anglo-</w:t>
      </w:r>
      <w:r w:rsidR="005660C8" w:rsidRPr="00BB211C">
        <w:rPr>
          <w:rFonts w:asciiTheme="majorBidi" w:hAnsiTheme="majorBidi" w:cstheme="majorBidi"/>
          <w:sz w:val="22"/>
          <w:szCs w:val="22"/>
          <w:lang w:val="en-US"/>
        </w:rPr>
        <w:t>C</w:t>
      </w:r>
      <w:r w:rsidRPr="00BB211C">
        <w:rPr>
          <w:rFonts w:asciiTheme="majorBidi" w:hAnsiTheme="majorBidi" w:cstheme="majorBidi"/>
          <w:sz w:val="22"/>
          <w:szCs w:val="22"/>
        </w:rPr>
        <w:t xml:space="preserve">ommon </w:t>
      </w:r>
      <w:r w:rsidR="005660C8" w:rsidRPr="00BB211C">
        <w:rPr>
          <w:rFonts w:asciiTheme="majorBidi" w:hAnsiTheme="majorBidi" w:cstheme="majorBidi"/>
          <w:sz w:val="22"/>
          <w:szCs w:val="22"/>
          <w:lang w:val="en-US"/>
        </w:rPr>
        <w:t>L</w:t>
      </w:r>
      <w:r w:rsidRPr="00BB211C">
        <w:rPr>
          <w:rFonts w:asciiTheme="majorBidi" w:hAnsiTheme="majorBidi" w:cstheme="majorBidi"/>
          <w:sz w:val="22"/>
          <w:szCs w:val="22"/>
        </w:rPr>
        <w:t xml:space="preserve">aw (Schoeman, 2011). Para pihak yang bersengketa harus dapat memilih hukum yang mengatur mereka, tunduk pada perlindungan prosedural. Jika tidak ada kesepakatan eksplisit, pengadilan harus menerapkan aturan yang memfasilitasi pilihan pihak atau yang memilih hukum yang kemungkinan akan dikontrak oleh para pihak (O’Hara &amp; Ribstein, 2000). Menurut O`Hara (2016), penundukan diri merupakan  salah satu bidang hukum yang paling membingungkan untuk menentukan hukum mana yang berlaku untuk sengketa; biasanya antarnegara. Karena itu, selama setengah abad terakhir, masalah pilihan hukum dalam gugatan telah mendominasi penulisan akademis di bidang hukum internasional perdata di AS dan juga telah menarik minat yang cukup besar di yurisdiksi hukum umum lainnya (Schuz, 2015). </w:t>
      </w:r>
    </w:p>
    <w:p w14:paraId="70F2EE66" w14:textId="78F8CB00" w:rsidR="005D069A" w:rsidRPr="00BB211C" w:rsidRDefault="005D069A" w:rsidP="00376218">
      <w:pPr>
        <w:spacing w:before="0" w:beforeAutospacing="0" w:after="0" w:afterAutospacing="0" w:line="240" w:lineRule="auto"/>
        <w:ind w:firstLine="720"/>
        <w:jc w:val="both"/>
        <w:rPr>
          <w:rFonts w:asciiTheme="majorBidi" w:hAnsiTheme="majorBidi" w:cstheme="majorBidi"/>
          <w:sz w:val="22"/>
          <w:szCs w:val="22"/>
        </w:rPr>
      </w:pPr>
      <w:r w:rsidRPr="00BB211C">
        <w:rPr>
          <w:rFonts w:asciiTheme="majorBidi" w:hAnsiTheme="majorBidi" w:cstheme="majorBidi"/>
          <w:sz w:val="22"/>
          <w:szCs w:val="22"/>
        </w:rPr>
        <w:t>Terdapat empat sebab munculnya teori penundukan diri ini yaitu, pertama, masalah hukum antarnegara</w:t>
      </w:r>
      <w:r w:rsidR="001A2023" w:rsidRPr="00BB211C">
        <w:rPr>
          <w:rFonts w:asciiTheme="majorBidi" w:hAnsiTheme="majorBidi" w:cstheme="majorBidi"/>
          <w:sz w:val="22"/>
          <w:szCs w:val="22"/>
          <w:lang w:val="en-US"/>
        </w:rPr>
        <w:t xml:space="preserve">, </w:t>
      </w:r>
      <w:r w:rsidRPr="00BB211C">
        <w:rPr>
          <w:rFonts w:asciiTheme="majorBidi" w:hAnsiTheme="majorBidi" w:cstheme="majorBidi"/>
          <w:sz w:val="22"/>
          <w:szCs w:val="22"/>
        </w:rPr>
        <w:t>umumnya terkait perdagangan internasional. Pasal 4 Prinsip Den Haag berisi Pilihan Hukum di Kontrak Komersial Internasional tentang pilihan diam-diam (</w:t>
      </w:r>
      <w:r w:rsidRPr="00BB211C">
        <w:rPr>
          <w:rFonts w:asciiTheme="majorBidi" w:hAnsiTheme="majorBidi" w:cstheme="majorBidi"/>
          <w:i/>
          <w:sz w:val="22"/>
          <w:szCs w:val="22"/>
        </w:rPr>
        <w:t>Tacit Choice</w:t>
      </w:r>
      <w:r w:rsidRPr="00BB211C">
        <w:rPr>
          <w:rFonts w:asciiTheme="majorBidi" w:hAnsiTheme="majorBidi" w:cstheme="majorBidi"/>
          <w:sz w:val="22"/>
          <w:szCs w:val="22"/>
        </w:rPr>
        <w:t>) atas hukum yang mengatur kontrak. Penerapan Pasal 4 ini mungkin terbatas dalam praktik  mengingat langkanya jumlah kasus pilihan diam-diam  ditemukan (Gama, 2017). Kedua, konflik hukum antarnegara lintas batas, misalnya pada aturan hukum internasional swasta Inggris berkaitan dengan tugas lintas batas (Xu, 2021). Sejak tahun 1994, Kanada, Inggris dan Australia telah mengadopsi pilihan aturan hukum baru untuk gugatan lintas batas yang berpusat pada penerapan hukum tempat terjadinya perbuatan melawan hukum (</w:t>
      </w:r>
      <w:r w:rsidRPr="00BB211C">
        <w:rPr>
          <w:rFonts w:asciiTheme="majorBidi" w:hAnsiTheme="majorBidi" w:cstheme="majorBidi"/>
          <w:i/>
          <w:sz w:val="22"/>
          <w:szCs w:val="22"/>
        </w:rPr>
        <w:t>the lex loci delicti</w:t>
      </w:r>
      <w:r w:rsidRPr="00BB211C">
        <w:rPr>
          <w:rFonts w:asciiTheme="majorBidi" w:hAnsiTheme="majorBidi" w:cstheme="majorBidi"/>
          <w:sz w:val="22"/>
          <w:szCs w:val="22"/>
        </w:rPr>
        <w:t>); meninggalkan beberapa aturan khusus yang mengacu pada hukum forum (</w:t>
      </w:r>
      <w:r w:rsidRPr="00BB211C">
        <w:rPr>
          <w:rFonts w:asciiTheme="majorBidi" w:hAnsiTheme="majorBidi" w:cstheme="majorBidi"/>
          <w:i/>
          <w:sz w:val="22"/>
          <w:szCs w:val="22"/>
        </w:rPr>
        <w:t>the lex fori</w:t>
      </w:r>
      <w:r w:rsidRPr="00BB211C">
        <w:rPr>
          <w:rFonts w:asciiTheme="majorBidi" w:hAnsiTheme="majorBidi" w:cstheme="majorBidi"/>
          <w:sz w:val="22"/>
          <w:szCs w:val="22"/>
        </w:rPr>
        <w:t xml:space="preserve">) serta </w:t>
      </w:r>
      <w:r w:rsidRPr="00BB211C">
        <w:rPr>
          <w:rFonts w:asciiTheme="majorBidi" w:hAnsiTheme="majorBidi" w:cstheme="majorBidi"/>
          <w:i/>
          <w:sz w:val="22"/>
          <w:szCs w:val="22"/>
        </w:rPr>
        <w:t>lex loci delicti</w:t>
      </w:r>
      <w:r w:rsidRPr="00BB211C">
        <w:rPr>
          <w:rFonts w:asciiTheme="majorBidi" w:hAnsiTheme="majorBidi" w:cstheme="majorBidi"/>
          <w:sz w:val="22"/>
          <w:szCs w:val="22"/>
        </w:rPr>
        <w:t xml:space="preserve"> (Mortensen, 2006). Ketiga, konflik hukum karena pendudukan satu negara atas negara lain, misalnya pendudukan Israel atas Palestina. Pengadilan </w:t>
      </w:r>
      <w:r w:rsidRPr="00BB211C">
        <w:rPr>
          <w:rFonts w:asciiTheme="majorBidi" w:hAnsiTheme="majorBidi" w:cstheme="majorBidi"/>
          <w:sz w:val="22"/>
          <w:szCs w:val="22"/>
        </w:rPr>
        <w:lastRenderedPageBreak/>
        <w:t xml:space="preserve">Israel mengajukan berbagai argumen untuk menolak dan menentang penerapan </w:t>
      </w:r>
      <w:r w:rsidRPr="00BB211C">
        <w:rPr>
          <w:rFonts w:asciiTheme="majorBidi" w:hAnsiTheme="majorBidi" w:cstheme="majorBidi"/>
          <w:i/>
          <w:sz w:val="22"/>
          <w:szCs w:val="22"/>
        </w:rPr>
        <w:t>lex loci delicti</w:t>
      </w:r>
      <w:r w:rsidRPr="00BB211C">
        <w:rPr>
          <w:rFonts w:asciiTheme="majorBidi" w:hAnsiTheme="majorBidi" w:cstheme="majorBidi"/>
          <w:sz w:val="22"/>
          <w:szCs w:val="22"/>
        </w:rPr>
        <w:t>. Padahal, menurut hukum internasional, wilayah yang diduduki membentuk entitas yurisdiksi yang terpisah dari kekuasaan pendudukan itu, tetapi pada saat yang sama dikendalikan dan diatur oleh pihak penguasa sampai penyelesaian internasional tercapai (Karayanni, 2009). Keempat, satu negara yang memiliki beberapa regulasi yang memungkinkan masyarakat dapat memilih yang mereka sukai. Cina, misalnya, memberikan aturan pilihan hukum untuk kerugian umum, kerugian maritim dan pembatasan tanggung jawab untuk klaim maritim serta kerugian yang timbul dari pesawat udara sipil melalui General Principles of the Civil Law of the People’s Republic of China of 1986 (GPCL), Maritime Act of the People’s Republic of China of 1992  and Act of the People’s  Republic of China on Civil Aviation of 1995 (Zou, 2014).</w:t>
      </w:r>
    </w:p>
    <w:p w14:paraId="5946CD6B" w14:textId="77777777" w:rsidR="008014F9" w:rsidRPr="00BB211C" w:rsidRDefault="005D069A" w:rsidP="008014F9">
      <w:pPr>
        <w:spacing w:before="0" w:beforeAutospacing="0" w:after="0" w:afterAutospacing="0" w:line="240" w:lineRule="auto"/>
        <w:ind w:firstLine="720"/>
        <w:jc w:val="both"/>
        <w:rPr>
          <w:rFonts w:asciiTheme="majorBidi" w:hAnsiTheme="majorBidi" w:cstheme="majorBidi"/>
          <w:sz w:val="22"/>
          <w:szCs w:val="22"/>
        </w:rPr>
      </w:pPr>
      <w:r w:rsidRPr="00BB211C">
        <w:rPr>
          <w:rFonts w:asciiTheme="majorBidi" w:hAnsiTheme="majorBidi" w:cstheme="majorBidi"/>
          <w:sz w:val="22"/>
          <w:szCs w:val="22"/>
        </w:rPr>
        <w:t>Penundukan diri umumnya dikenal dalam wilayah hukum perdata; terkait dengan gugatan atas kerugian material yang dialami seseorang, lembaga atau negara tertentu. Penjelasan di atas cukup menjadi alasan penyataan ini. Namun demikian, penundukan diri/pilihan hukum—walaupun tidak persis sama—sesungguhnya juga terjadi dalam wilayah hukum pidana yaitu dalam hukum pidana internasional. Kaidah-kaidah hukum pidana internasional dijumpai dalam bentuk perjanjian internasional yang substansinya mengatur tentang kejahatan internasional, misalnya Konvensi tentang Genosida (</w:t>
      </w:r>
      <w:r w:rsidRPr="00BB211C">
        <w:rPr>
          <w:rFonts w:asciiTheme="majorBidi" w:hAnsiTheme="majorBidi" w:cstheme="majorBidi"/>
          <w:i/>
          <w:sz w:val="22"/>
          <w:szCs w:val="22"/>
        </w:rPr>
        <w:t>Genocide Convention</w:t>
      </w:r>
      <w:r w:rsidRPr="00BB211C">
        <w:rPr>
          <w:rFonts w:asciiTheme="majorBidi" w:hAnsiTheme="majorBidi" w:cstheme="majorBidi"/>
          <w:sz w:val="22"/>
          <w:szCs w:val="22"/>
        </w:rPr>
        <w:t xml:space="preserve">) 1948 (Akhavan, 2021; Özsu, 2020), Konvensi tentang Apartheid 1973 (Bultz, 2013; Fischer, 2021), Konvensi Eropa tentang Pemberantasan Terorisme 1977 (Blumenau, 2015), dan lain-lain. Istilah kejahatan internasional menunjukkan peristiwa kejahatan yang sifatnya internasional, atau yang lintas batas negara, atau yang menyangkut kepentingan dari dua atau lebih negara. Karena peristiwanya demikian besar, misalnya jumlah korban seperti kasus Myanmar (Martuscelli et al., 2022), Soviet di Lithuania (Sagatiene, 2021), dan Cina di Uyghur (Zenz, 2021), maka masyarakat internasional, baik perorangan maupun negara dapat mengajukan kepada Mahkamah Internasional. Dengan pengajuan pada mahkamah ini, maka proses peradilan dengan sistem hukum yang mengacu pada </w:t>
      </w:r>
      <w:r w:rsidRPr="00BB211C">
        <w:rPr>
          <w:rFonts w:asciiTheme="majorBidi" w:hAnsiTheme="majorBidi" w:cstheme="majorBidi"/>
          <w:i/>
          <w:sz w:val="22"/>
          <w:szCs w:val="22"/>
        </w:rPr>
        <w:t>lex loci delicti</w:t>
      </w:r>
      <w:r w:rsidRPr="00BB211C">
        <w:rPr>
          <w:rFonts w:asciiTheme="majorBidi" w:hAnsiTheme="majorBidi" w:cstheme="majorBidi"/>
          <w:sz w:val="22"/>
          <w:szCs w:val="22"/>
        </w:rPr>
        <w:t xml:space="preserve"> dinafikan.</w:t>
      </w:r>
      <w:r w:rsidR="00DE13B6" w:rsidRPr="00BB211C">
        <w:rPr>
          <w:rFonts w:asciiTheme="majorBidi" w:hAnsiTheme="majorBidi" w:cstheme="majorBidi"/>
          <w:sz w:val="22"/>
          <w:szCs w:val="22"/>
          <w:lang w:val="en-US"/>
        </w:rPr>
        <w:t xml:space="preserve"> </w:t>
      </w:r>
      <w:r w:rsidR="00B01E3D" w:rsidRPr="00BB211C">
        <w:rPr>
          <w:rFonts w:asciiTheme="majorBidi" w:hAnsiTheme="majorBidi" w:cstheme="majorBidi"/>
          <w:sz w:val="22"/>
          <w:szCs w:val="22"/>
        </w:rPr>
        <w:t>Berdasarkan uraian di atas, maka pada prinsipnya penundukan diri itu dikenal di dalam hukum perdata. Sedangkan dari segi hukum pidana, hal ini merupa</w:t>
      </w:r>
      <w:r w:rsidR="00C9449D" w:rsidRPr="00BB211C">
        <w:rPr>
          <w:rFonts w:asciiTheme="majorBidi" w:hAnsiTheme="majorBidi" w:cstheme="majorBidi"/>
          <w:sz w:val="22"/>
          <w:szCs w:val="22"/>
        </w:rPr>
        <w:t xml:space="preserve">kan pengecualian, karena hukum </w:t>
      </w:r>
      <w:r w:rsidR="00B01E3D" w:rsidRPr="00BB211C">
        <w:rPr>
          <w:rFonts w:asciiTheme="majorBidi" w:hAnsiTheme="majorBidi" w:cstheme="majorBidi"/>
          <w:sz w:val="22"/>
          <w:szCs w:val="22"/>
        </w:rPr>
        <w:t>pidana adalah huku</w:t>
      </w:r>
      <w:r w:rsidR="001D6BE2" w:rsidRPr="00BB211C">
        <w:rPr>
          <w:rFonts w:asciiTheme="majorBidi" w:hAnsiTheme="majorBidi" w:cstheme="majorBidi"/>
          <w:sz w:val="22"/>
          <w:szCs w:val="22"/>
          <w:lang w:val="en-US"/>
        </w:rPr>
        <w:t>m</w:t>
      </w:r>
      <w:r w:rsidR="00B01E3D" w:rsidRPr="00BB211C">
        <w:rPr>
          <w:rFonts w:asciiTheme="majorBidi" w:hAnsiTheme="majorBidi" w:cstheme="majorBidi"/>
          <w:sz w:val="22"/>
          <w:szCs w:val="22"/>
        </w:rPr>
        <w:t xml:space="preserve"> publik.</w:t>
      </w:r>
    </w:p>
    <w:p w14:paraId="5DC02551" w14:textId="3689A334" w:rsidR="00EA1083" w:rsidRPr="00BB211C" w:rsidRDefault="00B01E3D" w:rsidP="008014F9">
      <w:pPr>
        <w:spacing w:before="0" w:beforeAutospacing="0" w:after="0" w:afterAutospacing="0" w:line="240" w:lineRule="auto"/>
        <w:ind w:firstLine="720"/>
        <w:jc w:val="both"/>
        <w:rPr>
          <w:rFonts w:asciiTheme="majorBidi" w:hAnsiTheme="majorBidi" w:cstheme="majorBidi"/>
          <w:sz w:val="22"/>
          <w:szCs w:val="22"/>
        </w:rPr>
      </w:pPr>
      <w:r w:rsidRPr="00BB211C">
        <w:rPr>
          <w:rFonts w:asciiTheme="majorBidi" w:hAnsiTheme="majorBidi" w:cstheme="majorBidi"/>
          <w:sz w:val="22"/>
          <w:szCs w:val="22"/>
        </w:rPr>
        <w:t xml:space="preserve">Salah satu keistimewaan atau perbedaan mendasar dari hukum pidana kalau dibandingkan dengan bidang hukum yang lain adalah pada sanksinya dan sanksi ini dapat dipaksakan. </w:t>
      </w:r>
      <w:r w:rsidR="009305D8" w:rsidRPr="00BB211C">
        <w:rPr>
          <w:rFonts w:asciiTheme="majorBidi" w:hAnsiTheme="majorBidi" w:cstheme="majorBidi"/>
          <w:sz w:val="22"/>
          <w:szCs w:val="22"/>
        </w:rPr>
        <w:t>Hal seperti ini dapat dipahami dari pengertian hukum pidana tersebut yang secara umum disebutkan bahwa “Hukum pidana terdiri dari norma-norma yang berisi keharusan-keharusan dan larangan</w:t>
      </w:r>
      <w:r w:rsidR="001474DE" w:rsidRPr="00BB211C">
        <w:rPr>
          <w:rFonts w:asciiTheme="majorBidi" w:hAnsiTheme="majorBidi" w:cstheme="majorBidi"/>
          <w:sz w:val="22"/>
          <w:szCs w:val="22"/>
        </w:rPr>
        <w:t>-</w:t>
      </w:r>
      <w:r w:rsidR="009305D8" w:rsidRPr="00BB211C">
        <w:rPr>
          <w:rFonts w:asciiTheme="majorBidi" w:hAnsiTheme="majorBidi" w:cstheme="majorBidi"/>
          <w:sz w:val="22"/>
          <w:szCs w:val="22"/>
        </w:rPr>
        <w:t>larangan yang diiringi dengan suatu sanksi berupa hukuman, yakni suatu penderitaan yang bersifat khusus. Dengan demikian dapat juga dikatakan, bahwa hukum pidana itu merupakan suatu sistem norma-norma yang menentukan terhadap tindakan-tindakan yang mana yang harus dilakukan dan ditinggalkan dan pelanggaran terseb</w:t>
      </w:r>
      <w:r w:rsidR="00EA1083" w:rsidRPr="00BB211C">
        <w:rPr>
          <w:rFonts w:asciiTheme="majorBidi" w:hAnsiTheme="majorBidi" w:cstheme="majorBidi"/>
          <w:sz w:val="22"/>
          <w:szCs w:val="22"/>
        </w:rPr>
        <w:t>u</w:t>
      </w:r>
      <w:r w:rsidR="009305D8" w:rsidRPr="00BB211C">
        <w:rPr>
          <w:rFonts w:asciiTheme="majorBidi" w:hAnsiTheme="majorBidi" w:cstheme="majorBidi"/>
          <w:sz w:val="22"/>
          <w:szCs w:val="22"/>
        </w:rPr>
        <w:t xml:space="preserve">t diikuti dengan sanksi pidana. </w:t>
      </w:r>
      <w:r w:rsidR="00EA1083" w:rsidRPr="00BB211C">
        <w:rPr>
          <w:rFonts w:asciiTheme="majorBidi" w:hAnsiTheme="majorBidi" w:cstheme="majorBidi"/>
          <w:sz w:val="22"/>
          <w:szCs w:val="22"/>
        </w:rPr>
        <w:t>Di dalam pelajaran dasar hukum pidana juga diperkenalkan bahwa di dalam hukum pidana ada hak negara untuk memberi hukuman, yaitu melalui  pembagian hukum pidana menjadi Hukum pidana Obyektif (</w:t>
      </w:r>
      <w:r w:rsidR="00475310" w:rsidRPr="00BB211C">
        <w:rPr>
          <w:rFonts w:asciiTheme="majorBidi" w:hAnsiTheme="majorBidi" w:cstheme="majorBidi"/>
          <w:i/>
          <w:iCs/>
          <w:sz w:val="22"/>
          <w:szCs w:val="22"/>
        </w:rPr>
        <w:t>Ius</w:t>
      </w:r>
      <w:r w:rsidR="00475310" w:rsidRPr="00BB211C">
        <w:rPr>
          <w:rFonts w:asciiTheme="majorBidi" w:hAnsiTheme="majorBidi" w:cstheme="majorBidi"/>
          <w:sz w:val="22"/>
          <w:szCs w:val="22"/>
        </w:rPr>
        <w:t xml:space="preserve"> </w:t>
      </w:r>
      <w:r w:rsidR="00475310" w:rsidRPr="00BB211C">
        <w:rPr>
          <w:rFonts w:asciiTheme="majorBidi" w:hAnsiTheme="majorBidi" w:cstheme="majorBidi"/>
          <w:i/>
          <w:iCs/>
          <w:sz w:val="22"/>
          <w:szCs w:val="22"/>
        </w:rPr>
        <w:t>Poenali</w:t>
      </w:r>
      <w:r w:rsidR="00475310" w:rsidRPr="00BB211C">
        <w:rPr>
          <w:rFonts w:asciiTheme="majorBidi" w:hAnsiTheme="majorBidi" w:cstheme="majorBidi"/>
          <w:sz w:val="22"/>
          <w:szCs w:val="22"/>
        </w:rPr>
        <w:t xml:space="preserve">) dan  </w:t>
      </w:r>
      <w:r w:rsidR="00EA1083" w:rsidRPr="00BB211C">
        <w:rPr>
          <w:rFonts w:asciiTheme="majorBidi" w:hAnsiTheme="majorBidi" w:cstheme="majorBidi"/>
          <w:sz w:val="22"/>
          <w:szCs w:val="22"/>
        </w:rPr>
        <w:t xml:space="preserve"> Hukum Pidana Subjektif </w:t>
      </w:r>
      <w:r w:rsidR="00EA1083" w:rsidRPr="00BB211C">
        <w:rPr>
          <w:rFonts w:asciiTheme="majorBidi" w:hAnsiTheme="majorBidi" w:cstheme="majorBidi"/>
          <w:i/>
          <w:iCs/>
          <w:sz w:val="22"/>
          <w:szCs w:val="22"/>
        </w:rPr>
        <w:t>(Ius Poeniendi)</w:t>
      </w:r>
      <w:r w:rsidR="00475310" w:rsidRPr="00BB211C">
        <w:rPr>
          <w:rFonts w:asciiTheme="majorBidi" w:hAnsiTheme="majorBidi" w:cstheme="majorBidi"/>
          <w:i/>
          <w:iCs/>
          <w:sz w:val="22"/>
          <w:szCs w:val="22"/>
        </w:rPr>
        <w:t xml:space="preserve">. </w:t>
      </w:r>
      <w:r w:rsidR="00475310" w:rsidRPr="00BB211C">
        <w:rPr>
          <w:rFonts w:asciiTheme="majorBidi" w:hAnsiTheme="majorBidi" w:cstheme="majorBidi"/>
          <w:i/>
          <w:iCs/>
          <w:sz w:val="22"/>
          <w:szCs w:val="22"/>
          <w:lang w:val="en-US"/>
        </w:rPr>
        <w:t xml:space="preserve">Ius poenali </w:t>
      </w:r>
      <w:r w:rsidR="00475310" w:rsidRPr="00BB211C">
        <w:rPr>
          <w:rFonts w:asciiTheme="majorBidi" w:hAnsiTheme="majorBidi" w:cstheme="majorBidi"/>
          <w:sz w:val="22"/>
          <w:szCs w:val="22"/>
          <w:lang w:val="en-US"/>
        </w:rPr>
        <w:t>inilah yang dimaknakan dengan hak nega</w:t>
      </w:r>
      <w:r w:rsidR="00F779AE" w:rsidRPr="00BB211C">
        <w:rPr>
          <w:rFonts w:asciiTheme="majorBidi" w:hAnsiTheme="majorBidi" w:cstheme="majorBidi"/>
          <w:sz w:val="22"/>
          <w:szCs w:val="22"/>
        </w:rPr>
        <w:t xml:space="preserve">ra atau </w:t>
      </w:r>
      <w:r w:rsidR="00475310" w:rsidRPr="00BB211C">
        <w:rPr>
          <w:rFonts w:asciiTheme="majorBidi" w:hAnsiTheme="majorBidi" w:cstheme="majorBidi"/>
          <w:sz w:val="22"/>
          <w:szCs w:val="22"/>
          <w:lang w:val="en-US"/>
        </w:rPr>
        <w:t xml:space="preserve"> alat negara untuk menghukum berdasarkan hukum pidana obyektif.</w:t>
      </w:r>
    </w:p>
    <w:p w14:paraId="69EED7EB" w14:textId="5CCFBBB8" w:rsidR="00D44C05" w:rsidRPr="00BB211C" w:rsidRDefault="00F779AE" w:rsidP="006E663E">
      <w:pPr>
        <w:spacing w:before="0" w:beforeAutospacing="0" w:after="0" w:afterAutospacing="0" w:line="240" w:lineRule="auto"/>
        <w:ind w:firstLine="567"/>
        <w:jc w:val="both"/>
        <w:rPr>
          <w:rFonts w:asciiTheme="majorBidi" w:hAnsiTheme="majorBidi" w:cstheme="majorBidi"/>
          <w:color w:val="FF0000"/>
          <w:sz w:val="22"/>
          <w:szCs w:val="22"/>
        </w:rPr>
      </w:pPr>
      <w:r w:rsidRPr="00BB211C">
        <w:rPr>
          <w:rFonts w:asciiTheme="majorBidi" w:hAnsiTheme="majorBidi" w:cstheme="majorBidi"/>
          <w:sz w:val="22"/>
          <w:szCs w:val="22"/>
        </w:rPr>
        <w:t xml:space="preserve">Berdasarkan pengertian dan sifat istimewa dari hukum pidana tersebut, maka penegakan hukum pidana adalah mutlak kewenangan dari negara, bukan diberikan </w:t>
      </w:r>
      <w:r w:rsidR="008014F9" w:rsidRPr="00BB211C">
        <w:rPr>
          <w:rFonts w:asciiTheme="majorBidi" w:hAnsiTheme="majorBidi" w:cstheme="majorBidi"/>
          <w:sz w:val="22"/>
          <w:szCs w:val="22"/>
        </w:rPr>
        <w:t xml:space="preserve">hak </w:t>
      </w:r>
      <w:r w:rsidRPr="00BB211C">
        <w:rPr>
          <w:rFonts w:asciiTheme="majorBidi" w:hAnsiTheme="majorBidi" w:cstheme="majorBidi"/>
          <w:sz w:val="22"/>
          <w:szCs w:val="22"/>
        </w:rPr>
        <w:t xml:space="preserve">kepada warga untuk memilih penyelesaian </w:t>
      </w:r>
      <w:r w:rsidR="008014F9" w:rsidRPr="00BB211C">
        <w:rPr>
          <w:rFonts w:asciiTheme="majorBidi" w:hAnsiTheme="majorBidi" w:cstheme="majorBidi"/>
          <w:sz w:val="22"/>
          <w:szCs w:val="22"/>
        </w:rPr>
        <w:t>dengan cara atau hukuman tertentu.</w:t>
      </w:r>
      <w:r w:rsidRPr="00BB211C">
        <w:rPr>
          <w:rFonts w:asciiTheme="majorBidi" w:hAnsiTheme="majorBidi" w:cstheme="majorBidi"/>
          <w:sz w:val="22"/>
          <w:szCs w:val="22"/>
        </w:rPr>
        <w:t xml:space="preserve"> Sekiranyapun ada alternatif hukuman atau pidana dengan rumusan “pidana penjara atau denda</w:t>
      </w:r>
      <w:r w:rsidR="00A72C6A" w:rsidRPr="00BB211C">
        <w:rPr>
          <w:rFonts w:asciiTheme="majorBidi" w:hAnsiTheme="majorBidi" w:cstheme="majorBidi"/>
          <w:sz w:val="22"/>
          <w:szCs w:val="22"/>
        </w:rPr>
        <w:t>”</w:t>
      </w:r>
      <w:r w:rsidR="008014F9" w:rsidRPr="00BB211C">
        <w:rPr>
          <w:rFonts w:asciiTheme="majorBidi" w:hAnsiTheme="majorBidi" w:cstheme="majorBidi"/>
          <w:sz w:val="22"/>
          <w:szCs w:val="22"/>
          <w:lang w:val="en-US"/>
        </w:rPr>
        <w:t>,</w:t>
      </w:r>
      <w:r w:rsidR="00A72C6A" w:rsidRPr="00BB211C">
        <w:rPr>
          <w:rFonts w:asciiTheme="majorBidi" w:hAnsiTheme="majorBidi" w:cstheme="majorBidi"/>
          <w:sz w:val="22"/>
          <w:szCs w:val="22"/>
        </w:rPr>
        <w:t xml:space="preserve"> maka pidana yang dijatuhkan adalah pilihan hakim, bukan pilihan dari terpidana. </w:t>
      </w:r>
      <w:r w:rsidRPr="00BB211C">
        <w:rPr>
          <w:rFonts w:asciiTheme="majorBidi" w:hAnsiTheme="majorBidi" w:cstheme="majorBidi"/>
          <w:sz w:val="22"/>
          <w:szCs w:val="22"/>
        </w:rPr>
        <w:t xml:space="preserve"> </w:t>
      </w:r>
      <w:r w:rsidR="004E1101" w:rsidRPr="00BB211C">
        <w:rPr>
          <w:rFonts w:asciiTheme="majorBidi" w:hAnsiTheme="majorBidi" w:cstheme="majorBidi"/>
          <w:sz w:val="22"/>
          <w:szCs w:val="22"/>
          <w:lang w:val="en-US"/>
        </w:rPr>
        <w:t>Isu lama di dalam hukum pidana, yaitu penyelesaian se</w:t>
      </w:r>
      <w:r w:rsidR="008014F9" w:rsidRPr="00BB211C">
        <w:rPr>
          <w:rFonts w:asciiTheme="majorBidi" w:hAnsiTheme="majorBidi" w:cstheme="majorBidi"/>
          <w:sz w:val="22"/>
          <w:szCs w:val="22"/>
          <w:lang w:val="en-US"/>
        </w:rPr>
        <w:t>c</w:t>
      </w:r>
      <w:r w:rsidR="004E1101" w:rsidRPr="00BB211C">
        <w:rPr>
          <w:rFonts w:asciiTheme="majorBidi" w:hAnsiTheme="majorBidi" w:cstheme="majorBidi"/>
          <w:sz w:val="22"/>
          <w:szCs w:val="22"/>
          <w:lang w:val="en-US"/>
        </w:rPr>
        <w:t xml:space="preserve">ara damai atau perdamaian, yang sekarang dikenal dengan restorative justice, adalah </w:t>
      </w:r>
      <w:r w:rsidR="00C94457" w:rsidRPr="00BB211C">
        <w:rPr>
          <w:rFonts w:asciiTheme="majorBidi" w:hAnsiTheme="majorBidi" w:cstheme="majorBidi"/>
          <w:sz w:val="22"/>
          <w:szCs w:val="22"/>
        </w:rPr>
        <w:t>persoalan tersendiri</w:t>
      </w:r>
      <w:r w:rsidR="008014F9" w:rsidRPr="00BB211C">
        <w:rPr>
          <w:rFonts w:asciiTheme="majorBidi" w:hAnsiTheme="majorBidi" w:cstheme="majorBidi"/>
          <w:sz w:val="22"/>
          <w:szCs w:val="22"/>
          <w:lang w:val="en-US"/>
        </w:rPr>
        <w:t>.</w:t>
      </w:r>
      <w:r w:rsidR="00C94457" w:rsidRPr="00BB211C">
        <w:rPr>
          <w:rFonts w:asciiTheme="majorBidi" w:hAnsiTheme="majorBidi" w:cstheme="majorBidi"/>
          <w:sz w:val="22"/>
          <w:szCs w:val="22"/>
        </w:rPr>
        <w:t xml:space="preserve"> </w:t>
      </w:r>
      <w:r w:rsidR="008014F9" w:rsidRPr="00BB211C">
        <w:rPr>
          <w:rFonts w:asciiTheme="majorBidi" w:hAnsiTheme="majorBidi" w:cstheme="majorBidi"/>
          <w:sz w:val="22"/>
          <w:szCs w:val="22"/>
        </w:rPr>
        <w:t>D</w:t>
      </w:r>
      <w:r w:rsidR="00C94457" w:rsidRPr="00BB211C">
        <w:rPr>
          <w:rFonts w:asciiTheme="majorBidi" w:hAnsiTheme="majorBidi" w:cstheme="majorBidi"/>
          <w:sz w:val="22"/>
          <w:szCs w:val="22"/>
        </w:rPr>
        <w:t>alam hukum pidana</w:t>
      </w:r>
      <w:r w:rsidR="00DE1E2C" w:rsidRPr="00BB211C">
        <w:rPr>
          <w:rFonts w:asciiTheme="majorBidi" w:hAnsiTheme="majorBidi" w:cstheme="majorBidi"/>
          <w:sz w:val="22"/>
          <w:szCs w:val="22"/>
        </w:rPr>
        <w:t>,</w:t>
      </w:r>
      <w:r w:rsidR="00C94457" w:rsidRPr="00BB211C">
        <w:rPr>
          <w:rFonts w:asciiTheme="majorBidi" w:hAnsiTheme="majorBidi" w:cstheme="majorBidi"/>
          <w:sz w:val="22"/>
          <w:szCs w:val="22"/>
        </w:rPr>
        <w:t xml:space="preserve"> meskipun ada perdamaian yang dilakukan oleh para pihak</w:t>
      </w:r>
      <w:r w:rsidR="008014F9" w:rsidRPr="00BB211C">
        <w:rPr>
          <w:rFonts w:asciiTheme="majorBidi" w:hAnsiTheme="majorBidi" w:cstheme="majorBidi"/>
          <w:sz w:val="22"/>
          <w:szCs w:val="22"/>
        </w:rPr>
        <w:t>—</w:t>
      </w:r>
      <w:r w:rsidR="00C94457" w:rsidRPr="00BB211C">
        <w:rPr>
          <w:rFonts w:asciiTheme="majorBidi" w:hAnsiTheme="majorBidi" w:cstheme="majorBidi"/>
          <w:sz w:val="22"/>
          <w:szCs w:val="22"/>
        </w:rPr>
        <w:t>dalam</w:t>
      </w:r>
      <w:r w:rsidR="008014F9" w:rsidRPr="00BB211C">
        <w:rPr>
          <w:rFonts w:asciiTheme="majorBidi" w:hAnsiTheme="majorBidi" w:cstheme="majorBidi"/>
          <w:sz w:val="22"/>
          <w:szCs w:val="22"/>
        </w:rPr>
        <w:t xml:space="preserve"> </w:t>
      </w:r>
      <w:r w:rsidR="00C94457" w:rsidRPr="00BB211C">
        <w:rPr>
          <w:rFonts w:asciiTheme="majorBidi" w:hAnsiTheme="majorBidi" w:cstheme="majorBidi"/>
          <w:sz w:val="22"/>
          <w:szCs w:val="22"/>
        </w:rPr>
        <w:t>hal ini sudah terjadi kesepakatan antara korban dengan pelaku</w:t>
      </w:r>
      <w:r w:rsidR="008014F9" w:rsidRPr="00BB211C">
        <w:rPr>
          <w:rFonts w:asciiTheme="majorBidi" w:hAnsiTheme="majorBidi" w:cstheme="majorBidi"/>
          <w:sz w:val="22"/>
          <w:szCs w:val="22"/>
        </w:rPr>
        <w:t>—n</w:t>
      </w:r>
      <w:r w:rsidR="00C94457" w:rsidRPr="00BB211C">
        <w:rPr>
          <w:rFonts w:asciiTheme="majorBidi" w:hAnsiTheme="majorBidi" w:cstheme="majorBidi"/>
          <w:sz w:val="22"/>
          <w:szCs w:val="22"/>
        </w:rPr>
        <w:t>amun</w:t>
      </w:r>
      <w:r w:rsidR="008014F9" w:rsidRPr="00BB211C">
        <w:rPr>
          <w:rFonts w:asciiTheme="majorBidi" w:hAnsiTheme="majorBidi" w:cstheme="majorBidi"/>
          <w:sz w:val="22"/>
          <w:szCs w:val="22"/>
        </w:rPr>
        <w:t>,</w:t>
      </w:r>
      <w:r w:rsidR="00C94457" w:rsidRPr="00BB211C">
        <w:rPr>
          <w:rFonts w:asciiTheme="majorBidi" w:hAnsiTheme="majorBidi" w:cstheme="majorBidi"/>
          <w:sz w:val="22"/>
          <w:szCs w:val="22"/>
        </w:rPr>
        <w:t xml:space="preserve"> dari sisi hukum pidana</w:t>
      </w:r>
      <w:r w:rsidR="008014F9" w:rsidRPr="00BB211C">
        <w:rPr>
          <w:rFonts w:asciiTheme="majorBidi" w:hAnsiTheme="majorBidi" w:cstheme="majorBidi"/>
          <w:sz w:val="22"/>
          <w:szCs w:val="22"/>
        </w:rPr>
        <w:t>,</w:t>
      </w:r>
      <w:r w:rsidR="00C94457" w:rsidRPr="00BB211C">
        <w:rPr>
          <w:rFonts w:asciiTheme="majorBidi" w:hAnsiTheme="majorBidi" w:cstheme="majorBidi"/>
          <w:sz w:val="22"/>
          <w:szCs w:val="22"/>
        </w:rPr>
        <w:t xml:space="preserve"> peramaian tersebut bukan penghapus pidana</w:t>
      </w:r>
      <w:r w:rsidR="008014F9" w:rsidRPr="00BB211C">
        <w:rPr>
          <w:rFonts w:asciiTheme="majorBidi" w:hAnsiTheme="majorBidi" w:cstheme="majorBidi"/>
          <w:sz w:val="22"/>
          <w:szCs w:val="22"/>
        </w:rPr>
        <w:t>,</w:t>
      </w:r>
      <w:r w:rsidR="00C94457" w:rsidRPr="00BB211C">
        <w:rPr>
          <w:rFonts w:asciiTheme="majorBidi" w:hAnsiTheme="majorBidi" w:cstheme="majorBidi"/>
          <w:sz w:val="22"/>
          <w:szCs w:val="22"/>
        </w:rPr>
        <w:t xml:space="preserve"> </w:t>
      </w:r>
      <w:r w:rsidR="008014F9" w:rsidRPr="00BB211C">
        <w:rPr>
          <w:rFonts w:asciiTheme="majorBidi" w:hAnsiTheme="majorBidi" w:cstheme="majorBidi"/>
          <w:sz w:val="22"/>
          <w:szCs w:val="22"/>
        </w:rPr>
        <w:t>me</w:t>
      </w:r>
      <w:r w:rsidR="00C94457" w:rsidRPr="00BB211C">
        <w:rPr>
          <w:rFonts w:asciiTheme="majorBidi" w:hAnsiTheme="majorBidi" w:cstheme="majorBidi"/>
          <w:sz w:val="22"/>
          <w:szCs w:val="22"/>
        </w:rPr>
        <w:t>lainkan hanya menjadi pertimbangan bagi hakim untu</w:t>
      </w:r>
      <w:r w:rsidR="00D44C05" w:rsidRPr="00BB211C">
        <w:rPr>
          <w:rFonts w:asciiTheme="majorBidi" w:hAnsiTheme="majorBidi" w:cstheme="majorBidi"/>
          <w:sz w:val="22"/>
          <w:szCs w:val="22"/>
        </w:rPr>
        <w:t>k</w:t>
      </w:r>
      <w:r w:rsidR="00C94457" w:rsidRPr="00BB211C">
        <w:rPr>
          <w:rFonts w:asciiTheme="majorBidi" w:hAnsiTheme="majorBidi" w:cstheme="majorBidi"/>
          <w:sz w:val="22"/>
          <w:szCs w:val="22"/>
        </w:rPr>
        <w:t xml:space="preserve"> menentukan berat ringannya pidana.</w:t>
      </w:r>
      <w:r w:rsidR="00D44C05" w:rsidRPr="00BB211C">
        <w:rPr>
          <w:rFonts w:asciiTheme="majorBidi" w:hAnsiTheme="majorBidi" w:cstheme="majorBidi"/>
          <w:sz w:val="22"/>
          <w:szCs w:val="22"/>
        </w:rPr>
        <w:t xml:space="preserve"> </w:t>
      </w:r>
      <w:r w:rsidR="004E1101" w:rsidRPr="00BB211C">
        <w:rPr>
          <w:rFonts w:asciiTheme="majorBidi" w:hAnsiTheme="majorBidi" w:cstheme="majorBidi"/>
          <w:sz w:val="22"/>
          <w:szCs w:val="22"/>
          <w:lang w:val="en-US"/>
        </w:rPr>
        <w:t>Banyak sekali tulisan yang</w:t>
      </w:r>
      <w:r w:rsidR="00DE1E2C" w:rsidRPr="00BB211C">
        <w:rPr>
          <w:rFonts w:asciiTheme="majorBidi" w:hAnsiTheme="majorBidi" w:cstheme="majorBidi"/>
          <w:sz w:val="22"/>
          <w:szCs w:val="22"/>
          <w:lang w:val="en-US"/>
        </w:rPr>
        <w:t xml:space="preserve"> meng</w:t>
      </w:r>
      <w:r w:rsidR="004E1101" w:rsidRPr="00BB211C">
        <w:rPr>
          <w:rFonts w:asciiTheme="majorBidi" w:hAnsiTheme="majorBidi" w:cstheme="majorBidi"/>
          <w:sz w:val="22"/>
          <w:szCs w:val="22"/>
          <w:lang w:val="en-US"/>
        </w:rPr>
        <w:t>angkat topik ini</w:t>
      </w:r>
      <w:r w:rsidR="00B36618" w:rsidRPr="00BB211C">
        <w:rPr>
          <w:rFonts w:asciiTheme="majorBidi" w:hAnsiTheme="majorBidi" w:cstheme="majorBidi"/>
          <w:sz w:val="22"/>
          <w:szCs w:val="22"/>
          <w:lang w:val="en-US"/>
        </w:rPr>
        <w:t xml:space="preserve">, karena dianggap </w:t>
      </w:r>
      <w:r w:rsidR="008014F9" w:rsidRPr="00BB211C">
        <w:rPr>
          <w:rFonts w:asciiTheme="majorBidi" w:hAnsiTheme="majorBidi" w:cstheme="majorBidi"/>
          <w:sz w:val="22"/>
          <w:szCs w:val="22"/>
          <w:lang w:val="en-US"/>
        </w:rPr>
        <w:t xml:space="preserve">bahwa perdamaian </w:t>
      </w:r>
      <w:r w:rsidR="00B36618" w:rsidRPr="00BB211C">
        <w:rPr>
          <w:rFonts w:asciiTheme="majorBidi" w:hAnsiTheme="majorBidi" w:cstheme="majorBidi"/>
          <w:sz w:val="22"/>
          <w:szCs w:val="22"/>
          <w:lang w:val="en-US"/>
        </w:rPr>
        <w:t>ini ada</w:t>
      </w:r>
      <w:r w:rsidR="00DE1E2C" w:rsidRPr="00BB211C">
        <w:rPr>
          <w:rFonts w:asciiTheme="majorBidi" w:hAnsiTheme="majorBidi" w:cstheme="majorBidi"/>
          <w:sz w:val="22"/>
          <w:szCs w:val="22"/>
          <w:lang w:val="en-US"/>
        </w:rPr>
        <w:t>l</w:t>
      </w:r>
      <w:r w:rsidR="00B36618" w:rsidRPr="00BB211C">
        <w:rPr>
          <w:rFonts w:asciiTheme="majorBidi" w:hAnsiTheme="majorBidi" w:cstheme="majorBidi"/>
          <w:sz w:val="22"/>
          <w:szCs w:val="22"/>
          <w:lang w:val="en-US"/>
        </w:rPr>
        <w:t>ah penyelesaian yang paling sesuai dengan karakter bangsa Indonesia. Namun dalam</w:t>
      </w:r>
      <w:r w:rsidR="00DE1E2C" w:rsidRPr="00BB211C">
        <w:rPr>
          <w:rFonts w:asciiTheme="majorBidi" w:hAnsiTheme="majorBidi" w:cstheme="majorBidi"/>
          <w:sz w:val="22"/>
          <w:szCs w:val="22"/>
          <w:lang w:val="en-US"/>
        </w:rPr>
        <w:t xml:space="preserve"> </w:t>
      </w:r>
      <w:r w:rsidR="00B36618" w:rsidRPr="00BB211C">
        <w:rPr>
          <w:rFonts w:asciiTheme="majorBidi" w:hAnsiTheme="majorBidi" w:cstheme="majorBidi"/>
          <w:sz w:val="22"/>
          <w:szCs w:val="22"/>
          <w:lang w:val="en-US"/>
        </w:rPr>
        <w:t>kenyataan</w:t>
      </w:r>
      <w:r w:rsidR="00DE1E2C" w:rsidRPr="00BB211C">
        <w:rPr>
          <w:rFonts w:asciiTheme="majorBidi" w:hAnsiTheme="majorBidi" w:cstheme="majorBidi"/>
          <w:sz w:val="22"/>
          <w:szCs w:val="22"/>
          <w:lang w:val="en-US"/>
        </w:rPr>
        <w:t>n</w:t>
      </w:r>
      <w:r w:rsidR="00B36618" w:rsidRPr="00BB211C">
        <w:rPr>
          <w:rFonts w:asciiTheme="majorBidi" w:hAnsiTheme="majorBidi" w:cstheme="majorBidi"/>
          <w:sz w:val="22"/>
          <w:szCs w:val="22"/>
          <w:lang w:val="en-US"/>
        </w:rPr>
        <w:t>ya masih sangat kental dengan asas legalitas</w:t>
      </w:r>
      <w:r w:rsidR="00DE1E2C" w:rsidRPr="00BB211C">
        <w:rPr>
          <w:rFonts w:asciiTheme="majorBidi" w:hAnsiTheme="majorBidi" w:cstheme="majorBidi"/>
          <w:sz w:val="22"/>
          <w:szCs w:val="22"/>
          <w:lang w:val="en-US"/>
        </w:rPr>
        <w:t>.</w:t>
      </w:r>
      <w:r w:rsidR="00B36618" w:rsidRPr="00BB211C">
        <w:rPr>
          <w:rFonts w:asciiTheme="majorBidi" w:hAnsiTheme="majorBidi" w:cstheme="majorBidi"/>
          <w:sz w:val="22"/>
          <w:szCs w:val="22"/>
          <w:lang w:val="en-US"/>
        </w:rPr>
        <w:t xml:space="preserve"> </w:t>
      </w:r>
      <w:r w:rsidR="00D44C05" w:rsidRPr="00BB211C">
        <w:rPr>
          <w:rStyle w:val="Emphasis"/>
          <w:rFonts w:asciiTheme="majorBidi" w:hAnsiTheme="majorBidi" w:cstheme="majorBidi"/>
          <w:i w:val="0"/>
          <w:iCs w:val="0"/>
          <w:sz w:val="22"/>
          <w:szCs w:val="22"/>
        </w:rPr>
        <w:t>Budi Suhariyanto</w:t>
      </w:r>
      <w:r w:rsidR="00B36618" w:rsidRPr="00BB211C">
        <w:rPr>
          <w:rStyle w:val="Emphasis"/>
          <w:rFonts w:asciiTheme="majorBidi" w:hAnsiTheme="majorBidi" w:cstheme="majorBidi"/>
          <w:i w:val="0"/>
          <w:iCs w:val="0"/>
          <w:sz w:val="22"/>
          <w:szCs w:val="22"/>
          <w:lang w:val="en-US"/>
        </w:rPr>
        <w:t xml:space="preserve"> </w:t>
      </w:r>
      <w:r w:rsidR="00B36618" w:rsidRPr="00BB211C">
        <w:rPr>
          <w:rStyle w:val="Emphasis"/>
          <w:rFonts w:asciiTheme="majorBidi" w:hAnsiTheme="majorBidi" w:cstheme="majorBidi"/>
          <w:i w:val="0"/>
          <w:iCs w:val="0"/>
          <w:sz w:val="22"/>
          <w:szCs w:val="22"/>
          <w:lang w:val="en-US"/>
        </w:rPr>
        <w:lastRenderedPageBreak/>
        <w:t>menyatakan</w:t>
      </w:r>
      <w:r w:rsidR="008014F9" w:rsidRPr="00BB211C">
        <w:rPr>
          <w:rStyle w:val="Emphasis"/>
          <w:rFonts w:asciiTheme="majorBidi" w:hAnsiTheme="majorBidi" w:cstheme="majorBidi"/>
          <w:i w:val="0"/>
          <w:iCs w:val="0"/>
          <w:sz w:val="22"/>
          <w:szCs w:val="22"/>
          <w:lang w:val="en-US"/>
        </w:rPr>
        <w:t>,</w:t>
      </w:r>
      <w:r w:rsidR="00B36618" w:rsidRPr="00BB211C">
        <w:rPr>
          <w:rStyle w:val="Emphasis"/>
          <w:rFonts w:asciiTheme="majorBidi" w:hAnsiTheme="majorBidi" w:cstheme="majorBidi"/>
          <w:sz w:val="22"/>
          <w:szCs w:val="22"/>
          <w:lang w:val="en-US"/>
        </w:rPr>
        <w:t xml:space="preserve"> </w:t>
      </w:r>
      <w:r w:rsidR="008014F9" w:rsidRPr="00BB211C">
        <w:rPr>
          <w:rStyle w:val="Emphasis"/>
          <w:rFonts w:asciiTheme="majorBidi" w:hAnsiTheme="majorBidi" w:cstheme="majorBidi"/>
          <w:i w:val="0"/>
          <w:iCs w:val="0"/>
          <w:sz w:val="22"/>
          <w:szCs w:val="22"/>
          <w:lang w:val="en-US"/>
        </w:rPr>
        <w:t>m</w:t>
      </w:r>
      <w:r w:rsidR="00B36618" w:rsidRPr="00BB211C">
        <w:rPr>
          <w:rFonts w:asciiTheme="majorBidi" w:hAnsiTheme="majorBidi" w:cstheme="majorBidi"/>
          <w:sz w:val="22"/>
          <w:szCs w:val="22"/>
        </w:rPr>
        <w:t>eskipun dikatakan bahwa sebenarnya upaya perdamaian ini merupakan hal yang baik, namun di dalam hukum pidana indonesia hal ini masih belum mendapatkan pengaturan yang jelas</w:t>
      </w:r>
      <w:r w:rsidR="006E663E" w:rsidRPr="00BB211C">
        <w:rPr>
          <w:rFonts w:asciiTheme="majorBidi" w:hAnsiTheme="majorBidi" w:cstheme="majorBidi"/>
          <w:sz w:val="22"/>
          <w:szCs w:val="22"/>
          <w:lang w:val="en-US"/>
        </w:rPr>
        <w:t xml:space="preserve"> </w:t>
      </w:r>
      <w:r w:rsidR="00712ED2">
        <w:rPr>
          <w:rStyle w:val="FootnoteReference"/>
          <w:rFonts w:asciiTheme="majorBidi" w:hAnsiTheme="majorBidi" w:cstheme="majorBidi"/>
          <w:sz w:val="22"/>
          <w:szCs w:val="22"/>
          <w:lang w:val="en-US"/>
        </w:rPr>
        <w:footnoteReference w:id="4"/>
      </w:r>
      <w:r w:rsidR="00B36618" w:rsidRPr="00BB211C">
        <w:rPr>
          <w:rFonts w:asciiTheme="majorBidi" w:hAnsiTheme="majorBidi" w:cstheme="majorBidi"/>
          <w:sz w:val="22"/>
          <w:szCs w:val="22"/>
        </w:rPr>
        <w:t>.</w:t>
      </w:r>
      <w:r w:rsidR="00D44C05" w:rsidRPr="00BB211C">
        <w:rPr>
          <w:rFonts w:asciiTheme="majorBidi" w:hAnsiTheme="majorBidi" w:cstheme="majorBidi"/>
          <w:color w:val="FF0000"/>
          <w:sz w:val="22"/>
          <w:szCs w:val="22"/>
        </w:rPr>
        <w:t xml:space="preserve"> </w:t>
      </w:r>
    </w:p>
    <w:p w14:paraId="4CDA9055" w14:textId="0C3EA327" w:rsidR="009305D8" w:rsidRPr="00BB211C" w:rsidRDefault="009305D8" w:rsidP="00376218">
      <w:pPr>
        <w:pStyle w:val="ListParagraph"/>
        <w:spacing w:before="0" w:beforeAutospacing="0" w:after="0" w:afterAutospacing="0" w:line="240" w:lineRule="auto"/>
        <w:ind w:firstLine="720"/>
        <w:jc w:val="both"/>
        <w:rPr>
          <w:rFonts w:asciiTheme="majorBidi" w:hAnsiTheme="majorBidi" w:cstheme="majorBidi"/>
          <w:sz w:val="22"/>
          <w:szCs w:val="22"/>
        </w:rPr>
      </w:pPr>
      <w:r w:rsidRPr="00BB211C">
        <w:rPr>
          <w:rFonts w:asciiTheme="majorBidi" w:hAnsiTheme="majorBidi" w:cstheme="majorBidi"/>
          <w:sz w:val="22"/>
          <w:szCs w:val="22"/>
        </w:rPr>
        <w:t xml:space="preserve">Ketentuan di dalam </w:t>
      </w:r>
      <w:r w:rsidR="00475310" w:rsidRPr="00BB211C">
        <w:rPr>
          <w:rFonts w:asciiTheme="majorBidi" w:hAnsiTheme="majorBidi" w:cstheme="majorBidi"/>
          <w:sz w:val="22"/>
          <w:szCs w:val="22"/>
          <w:lang w:val="en-US"/>
        </w:rPr>
        <w:t>Q</w:t>
      </w:r>
      <w:r w:rsidRPr="00BB211C">
        <w:rPr>
          <w:rFonts w:asciiTheme="majorBidi" w:hAnsiTheme="majorBidi" w:cstheme="majorBidi"/>
          <w:sz w:val="22"/>
          <w:szCs w:val="22"/>
        </w:rPr>
        <w:t xml:space="preserve">anun </w:t>
      </w:r>
      <w:r w:rsidR="00A008B2" w:rsidRPr="00BB211C">
        <w:rPr>
          <w:rFonts w:asciiTheme="majorBidi" w:hAnsiTheme="majorBidi" w:cstheme="majorBidi"/>
          <w:sz w:val="22"/>
          <w:szCs w:val="22"/>
          <w:lang w:val="en-US"/>
        </w:rPr>
        <w:t>A</w:t>
      </w:r>
      <w:r w:rsidRPr="00BB211C">
        <w:rPr>
          <w:rFonts w:asciiTheme="majorBidi" w:hAnsiTheme="majorBidi" w:cstheme="majorBidi"/>
          <w:sz w:val="22"/>
          <w:szCs w:val="22"/>
        </w:rPr>
        <w:t xml:space="preserve">ceh seakan memberi </w:t>
      </w:r>
      <w:r w:rsidR="00475310" w:rsidRPr="00BB211C">
        <w:rPr>
          <w:rFonts w:asciiTheme="majorBidi" w:hAnsiTheme="majorBidi" w:cstheme="majorBidi"/>
          <w:sz w:val="22"/>
          <w:szCs w:val="22"/>
          <w:lang w:val="en-US"/>
        </w:rPr>
        <w:t xml:space="preserve"> p</w:t>
      </w:r>
      <w:r w:rsidRPr="00BB211C">
        <w:rPr>
          <w:rFonts w:asciiTheme="majorBidi" w:hAnsiTheme="majorBidi" w:cstheme="majorBidi"/>
          <w:sz w:val="22"/>
          <w:szCs w:val="22"/>
        </w:rPr>
        <w:t xml:space="preserve">eluang bahwa hukum pidana tersebut dapat dipilih-pilih dengan penundukan diri. Pasal 5 Qanun Aceh Nomor 6 Tahun 2014 tentang Hukum </w:t>
      </w:r>
      <w:r w:rsidRPr="00BB211C">
        <w:rPr>
          <w:rFonts w:asciiTheme="majorBidi" w:hAnsiTheme="majorBidi" w:cstheme="majorBidi"/>
          <w:iCs/>
          <w:sz w:val="22"/>
          <w:szCs w:val="22"/>
        </w:rPr>
        <w:t>Jinayat</w:t>
      </w:r>
      <w:r w:rsidRPr="00BB211C">
        <w:rPr>
          <w:rFonts w:asciiTheme="majorBidi" w:hAnsiTheme="majorBidi" w:cstheme="majorBidi"/>
          <w:sz w:val="22"/>
          <w:szCs w:val="22"/>
        </w:rPr>
        <w:t xml:space="preserve"> menyatakan </w:t>
      </w:r>
      <w:r w:rsidR="00F64AF3" w:rsidRPr="00BB211C">
        <w:rPr>
          <w:rFonts w:asciiTheme="majorBidi" w:hAnsiTheme="majorBidi" w:cstheme="majorBidi"/>
          <w:sz w:val="22"/>
          <w:szCs w:val="22"/>
        </w:rPr>
        <w:t xml:space="preserve">bahwa </w:t>
      </w:r>
      <w:r w:rsidR="008014F9" w:rsidRPr="00BB211C">
        <w:rPr>
          <w:rFonts w:asciiTheme="majorBidi" w:hAnsiTheme="majorBidi" w:cstheme="majorBidi"/>
          <w:sz w:val="22"/>
          <w:szCs w:val="22"/>
        </w:rPr>
        <w:t>Q</w:t>
      </w:r>
      <w:r w:rsidR="00F64AF3" w:rsidRPr="00BB211C">
        <w:rPr>
          <w:rFonts w:asciiTheme="majorBidi" w:hAnsiTheme="majorBidi" w:cstheme="majorBidi"/>
          <w:sz w:val="22"/>
          <w:szCs w:val="22"/>
        </w:rPr>
        <w:t xml:space="preserve">anun Aceh berlaku bagi a. Orang yang beragama Islam yang melakukan </w:t>
      </w:r>
      <w:r w:rsidR="00F64AF3" w:rsidRPr="00BB211C">
        <w:rPr>
          <w:rFonts w:asciiTheme="majorBidi" w:hAnsiTheme="majorBidi" w:cstheme="majorBidi"/>
          <w:i/>
          <w:sz w:val="22"/>
          <w:szCs w:val="22"/>
        </w:rPr>
        <w:t>jarimah</w:t>
      </w:r>
      <w:r w:rsidR="00F64AF3" w:rsidRPr="00BB211C">
        <w:rPr>
          <w:rFonts w:asciiTheme="majorBidi" w:hAnsiTheme="majorBidi" w:cstheme="majorBidi"/>
          <w:sz w:val="22"/>
          <w:szCs w:val="22"/>
        </w:rPr>
        <w:t xml:space="preserve"> di Aceh; b. </w:t>
      </w:r>
      <w:r w:rsidRPr="00BB211C">
        <w:rPr>
          <w:rFonts w:asciiTheme="majorBidi" w:hAnsiTheme="majorBidi" w:cstheme="majorBidi"/>
          <w:sz w:val="22"/>
          <w:szCs w:val="22"/>
        </w:rPr>
        <w:t xml:space="preserve">Setiap orang beragama bukan Islam yang melakukan </w:t>
      </w:r>
      <w:r w:rsidRPr="00BB211C">
        <w:rPr>
          <w:rFonts w:asciiTheme="majorBidi" w:hAnsiTheme="majorBidi" w:cstheme="majorBidi"/>
          <w:i/>
          <w:sz w:val="22"/>
          <w:szCs w:val="22"/>
        </w:rPr>
        <w:t>jarimah</w:t>
      </w:r>
      <w:r w:rsidR="001A2023" w:rsidRPr="00BB211C">
        <w:rPr>
          <w:rFonts w:asciiTheme="majorBidi" w:hAnsiTheme="majorBidi" w:cstheme="majorBidi"/>
          <w:i/>
          <w:sz w:val="22"/>
          <w:szCs w:val="22"/>
        </w:rPr>
        <w:t xml:space="preserve"> </w:t>
      </w:r>
      <w:r w:rsidRPr="00BB211C">
        <w:rPr>
          <w:rFonts w:asciiTheme="majorBidi" w:hAnsiTheme="majorBidi" w:cstheme="majorBidi"/>
          <w:sz w:val="22"/>
          <w:szCs w:val="22"/>
        </w:rPr>
        <w:t xml:space="preserve">di Aceh bersama-sama dengan orang Islam dan memilih serta menundukkan diri secara suka rela pada qanun </w:t>
      </w:r>
      <w:r w:rsidRPr="00BB211C">
        <w:rPr>
          <w:rFonts w:asciiTheme="majorBidi" w:hAnsiTheme="majorBidi" w:cstheme="majorBidi"/>
          <w:i/>
          <w:sz w:val="22"/>
          <w:szCs w:val="22"/>
        </w:rPr>
        <w:t>jinayat</w:t>
      </w:r>
      <w:r w:rsidRPr="00BB211C">
        <w:rPr>
          <w:rFonts w:asciiTheme="majorBidi" w:hAnsiTheme="majorBidi" w:cstheme="majorBidi"/>
          <w:sz w:val="22"/>
          <w:szCs w:val="22"/>
        </w:rPr>
        <w:t>;</w:t>
      </w:r>
      <w:r w:rsidR="00F64AF3" w:rsidRPr="00BB211C">
        <w:rPr>
          <w:rFonts w:asciiTheme="majorBidi" w:hAnsiTheme="majorBidi" w:cstheme="majorBidi"/>
          <w:sz w:val="22"/>
          <w:szCs w:val="22"/>
        </w:rPr>
        <w:t xml:space="preserve"> c. </w:t>
      </w:r>
      <w:r w:rsidRPr="00BB211C">
        <w:rPr>
          <w:rFonts w:asciiTheme="majorBidi" w:hAnsiTheme="majorBidi" w:cstheme="majorBidi"/>
          <w:sz w:val="22"/>
          <w:szCs w:val="22"/>
        </w:rPr>
        <w:t xml:space="preserve"> orang beragama bukan Islam yang melakukan </w:t>
      </w:r>
      <w:r w:rsidRPr="00BB211C">
        <w:rPr>
          <w:rFonts w:asciiTheme="majorBidi" w:hAnsiTheme="majorBidi" w:cstheme="majorBidi"/>
          <w:i/>
          <w:sz w:val="22"/>
          <w:szCs w:val="22"/>
        </w:rPr>
        <w:t>jarimah</w:t>
      </w:r>
      <w:r w:rsidRPr="00BB211C">
        <w:rPr>
          <w:rFonts w:asciiTheme="majorBidi" w:hAnsiTheme="majorBidi" w:cstheme="majorBidi"/>
          <w:sz w:val="22"/>
          <w:szCs w:val="22"/>
        </w:rPr>
        <w:t xml:space="preserve"> di Aceh yang tidak diatur dalam Kitab Undang-Undang Hukum Pidana (KUHP) atau ketentuan pidana di</w:t>
      </w:r>
      <w:r w:rsidR="00475310" w:rsidRPr="00BB211C">
        <w:rPr>
          <w:rFonts w:asciiTheme="majorBidi" w:hAnsiTheme="majorBidi" w:cstheme="majorBidi"/>
          <w:sz w:val="22"/>
          <w:szCs w:val="22"/>
        </w:rPr>
        <w:t xml:space="preserve"> </w:t>
      </w:r>
      <w:r w:rsidRPr="00BB211C">
        <w:rPr>
          <w:rFonts w:asciiTheme="majorBidi" w:hAnsiTheme="majorBidi" w:cstheme="majorBidi"/>
          <w:sz w:val="22"/>
          <w:szCs w:val="22"/>
        </w:rPr>
        <w:t>luar KUHP, tetapi diatur dalam qanun ini; dan</w:t>
      </w:r>
      <w:r w:rsidR="00F64AF3" w:rsidRPr="00BB211C">
        <w:rPr>
          <w:rFonts w:asciiTheme="majorBidi" w:hAnsiTheme="majorBidi" w:cstheme="majorBidi"/>
          <w:sz w:val="22"/>
          <w:szCs w:val="22"/>
        </w:rPr>
        <w:t xml:space="preserve"> d.</w:t>
      </w:r>
      <w:r w:rsidR="00310049" w:rsidRPr="00BB211C">
        <w:rPr>
          <w:rFonts w:asciiTheme="majorBidi" w:hAnsiTheme="majorBidi" w:cstheme="majorBidi"/>
          <w:sz w:val="22"/>
          <w:szCs w:val="22"/>
        </w:rPr>
        <w:t xml:space="preserve"> </w:t>
      </w:r>
      <w:r w:rsidRPr="00BB211C">
        <w:rPr>
          <w:rFonts w:asciiTheme="majorBidi" w:hAnsiTheme="majorBidi" w:cstheme="majorBidi"/>
          <w:sz w:val="22"/>
          <w:szCs w:val="22"/>
        </w:rPr>
        <w:t>Badan usaha</w:t>
      </w:r>
      <w:r w:rsidR="00310049" w:rsidRPr="00BB211C">
        <w:rPr>
          <w:rFonts w:asciiTheme="majorBidi" w:hAnsiTheme="majorBidi" w:cstheme="majorBidi"/>
          <w:sz w:val="22"/>
          <w:szCs w:val="22"/>
        </w:rPr>
        <w:t xml:space="preserve"> </w:t>
      </w:r>
      <w:r w:rsidRPr="00BB211C">
        <w:rPr>
          <w:rFonts w:asciiTheme="majorBidi" w:hAnsiTheme="majorBidi" w:cstheme="majorBidi"/>
          <w:sz w:val="22"/>
          <w:szCs w:val="22"/>
        </w:rPr>
        <w:t xml:space="preserve">yang menjalankan kegiatan usaha di Aceh.     </w:t>
      </w:r>
    </w:p>
    <w:p w14:paraId="77DFFB78" w14:textId="766B13EE" w:rsidR="00C30D23" w:rsidRPr="00BB211C" w:rsidRDefault="00F64AF3" w:rsidP="00376218">
      <w:pPr>
        <w:pStyle w:val="ListParagraph"/>
        <w:spacing w:before="0" w:beforeAutospacing="0" w:after="0" w:afterAutospacing="0" w:line="240" w:lineRule="auto"/>
        <w:ind w:firstLine="720"/>
        <w:jc w:val="both"/>
        <w:rPr>
          <w:rFonts w:asciiTheme="majorBidi" w:hAnsiTheme="majorBidi" w:cstheme="majorBidi"/>
          <w:sz w:val="22"/>
          <w:szCs w:val="22"/>
          <w:lang w:val="en-US"/>
        </w:rPr>
      </w:pPr>
      <w:r w:rsidRPr="00BB211C">
        <w:rPr>
          <w:rFonts w:asciiTheme="majorBidi" w:hAnsiTheme="majorBidi" w:cstheme="majorBidi"/>
          <w:sz w:val="22"/>
          <w:szCs w:val="22"/>
        </w:rPr>
        <w:t>Pada poin 2  Pasal 5 diseb</w:t>
      </w:r>
      <w:r w:rsidR="00310049" w:rsidRPr="00BB211C">
        <w:rPr>
          <w:rFonts w:asciiTheme="majorBidi" w:hAnsiTheme="majorBidi" w:cstheme="majorBidi"/>
          <w:sz w:val="22"/>
          <w:szCs w:val="22"/>
        </w:rPr>
        <w:t>u</w:t>
      </w:r>
      <w:r w:rsidRPr="00BB211C">
        <w:rPr>
          <w:rFonts w:asciiTheme="majorBidi" w:hAnsiTheme="majorBidi" w:cstheme="majorBidi"/>
          <w:sz w:val="22"/>
          <w:szCs w:val="22"/>
        </w:rPr>
        <w:t xml:space="preserve">tkan </w:t>
      </w:r>
      <w:r w:rsidR="00475310" w:rsidRPr="00BB211C">
        <w:rPr>
          <w:rFonts w:asciiTheme="majorBidi" w:hAnsiTheme="majorBidi" w:cstheme="majorBidi"/>
          <w:sz w:val="22"/>
          <w:szCs w:val="22"/>
        </w:rPr>
        <w:t>“</w:t>
      </w:r>
      <w:r w:rsidR="00310049" w:rsidRPr="00BB211C">
        <w:rPr>
          <w:rFonts w:asciiTheme="majorBidi" w:hAnsiTheme="majorBidi" w:cstheme="majorBidi"/>
          <w:sz w:val="22"/>
          <w:szCs w:val="22"/>
        </w:rPr>
        <w:t>s</w:t>
      </w:r>
      <w:r w:rsidRPr="00BB211C">
        <w:rPr>
          <w:rFonts w:asciiTheme="majorBidi" w:hAnsiTheme="majorBidi" w:cstheme="majorBidi"/>
          <w:sz w:val="22"/>
          <w:szCs w:val="22"/>
        </w:rPr>
        <w:t xml:space="preserve">etiap orang beragama bukan Islam yang melakukan </w:t>
      </w:r>
      <w:r w:rsidRPr="00BB211C">
        <w:rPr>
          <w:rFonts w:asciiTheme="majorBidi" w:hAnsiTheme="majorBidi" w:cstheme="majorBidi"/>
          <w:i/>
          <w:sz w:val="22"/>
          <w:szCs w:val="22"/>
        </w:rPr>
        <w:t xml:space="preserve">jarimah </w:t>
      </w:r>
      <w:r w:rsidRPr="00BB211C">
        <w:rPr>
          <w:rFonts w:asciiTheme="majorBidi" w:hAnsiTheme="majorBidi" w:cstheme="majorBidi"/>
          <w:sz w:val="22"/>
          <w:szCs w:val="22"/>
        </w:rPr>
        <w:t xml:space="preserve">di Aceh bersama-sama dengan orang Islam dan memilih serta menundukkan diri secara suka rela pada </w:t>
      </w:r>
      <w:r w:rsidR="00A008B2" w:rsidRPr="00BB211C">
        <w:rPr>
          <w:rFonts w:asciiTheme="majorBidi" w:hAnsiTheme="majorBidi" w:cstheme="majorBidi"/>
          <w:sz w:val="22"/>
          <w:szCs w:val="22"/>
        </w:rPr>
        <w:t>Q</w:t>
      </w:r>
      <w:r w:rsidRPr="00BB211C">
        <w:rPr>
          <w:rFonts w:asciiTheme="majorBidi" w:hAnsiTheme="majorBidi" w:cstheme="majorBidi"/>
          <w:sz w:val="22"/>
          <w:szCs w:val="22"/>
        </w:rPr>
        <w:t xml:space="preserve">anun </w:t>
      </w:r>
      <w:r w:rsidR="00A008B2" w:rsidRPr="00BB211C">
        <w:rPr>
          <w:rFonts w:asciiTheme="majorBidi" w:hAnsiTheme="majorBidi" w:cstheme="majorBidi"/>
          <w:sz w:val="22"/>
          <w:szCs w:val="22"/>
        </w:rPr>
        <w:t>J</w:t>
      </w:r>
      <w:r w:rsidRPr="00BB211C">
        <w:rPr>
          <w:rFonts w:asciiTheme="majorBidi" w:hAnsiTheme="majorBidi" w:cstheme="majorBidi"/>
          <w:sz w:val="22"/>
          <w:szCs w:val="22"/>
        </w:rPr>
        <w:t>inayat</w:t>
      </w:r>
      <w:r w:rsidR="00475310" w:rsidRPr="00BB211C">
        <w:rPr>
          <w:rFonts w:asciiTheme="majorBidi" w:hAnsiTheme="majorBidi" w:cstheme="majorBidi"/>
          <w:sz w:val="22"/>
          <w:szCs w:val="22"/>
        </w:rPr>
        <w:t>”,</w:t>
      </w:r>
      <w:r w:rsidRPr="00BB211C">
        <w:rPr>
          <w:rFonts w:asciiTheme="majorBidi" w:hAnsiTheme="majorBidi" w:cstheme="majorBidi"/>
          <w:i/>
          <w:sz w:val="22"/>
          <w:szCs w:val="22"/>
        </w:rPr>
        <w:t xml:space="preserve"> </w:t>
      </w:r>
      <w:r w:rsidR="00440B91" w:rsidRPr="00BB211C">
        <w:rPr>
          <w:rFonts w:asciiTheme="majorBidi" w:hAnsiTheme="majorBidi" w:cstheme="majorBidi"/>
          <w:iCs/>
          <w:sz w:val="22"/>
          <w:szCs w:val="22"/>
        </w:rPr>
        <w:t>m</w:t>
      </w:r>
      <w:r w:rsidRPr="00BB211C">
        <w:rPr>
          <w:rFonts w:asciiTheme="majorBidi" w:hAnsiTheme="majorBidi" w:cstheme="majorBidi"/>
          <w:iCs/>
          <w:sz w:val="22"/>
          <w:szCs w:val="22"/>
        </w:rPr>
        <w:t>enandakan</w:t>
      </w:r>
      <w:r w:rsidRPr="00BB211C">
        <w:rPr>
          <w:rFonts w:asciiTheme="majorBidi" w:hAnsiTheme="majorBidi" w:cstheme="majorBidi"/>
          <w:sz w:val="22"/>
          <w:szCs w:val="22"/>
        </w:rPr>
        <w:t xml:space="preserve"> bahwa ada kelonggaran atau kelenturan di da</w:t>
      </w:r>
      <w:r w:rsidR="006400D9" w:rsidRPr="00BB211C">
        <w:rPr>
          <w:rFonts w:asciiTheme="majorBidi" w:hAnsiTheme="majorBidi" w:cstheme="majorBidi"/>
          <w:sz w:val="22"/>
          <w:szCs w:val="22"/>
        </w:rPr>
        <w:t>l</w:t>
      </w:r>
      <w:r w:rsidRPr="00BB211C">
        <w:rPr>
          <w:rFonts w:asciiTheme="majorBidi" w:hAnsiTheme="majorBidi" w:cstheme="majorBidi"/>
          <w:sz w:val="22"/>
          <w:szCs w:val="22"/>
        </w:rPr>
        <w:t xml:space="preserve">am hukum pidana yang seolah baru diterapkan kalau ada penundukan diri. </w:t>
      </w:r>
      <w:r w:rsidR="00440B91" w:rsidRPr="00BB211C">
        <w:rPr>
          <w:rFonts w:asciiTheme="majorBidi" w:hAnsiTheme="majorBidi" w:cstheme="majorBidi"/>
          <w:sz w:val="22"/>
          <w:szCs w:val="22"/>
          <w:lang w:val="en-US"/>
        </w:rPr>
        <w:t>Hal i</w:t>
      </w:r>
      <w:r w:rsidRPr="00BB211C">
        <w:rPr>
          <w:rFonts w:asciiTheme="majorBidi" w:hAnsiTheme="majorBidi" w:cstheme="majorBidi"/>
          <w:sz w:val="22"/>
          <w:szCs w:val="22"/>
        </w:rPr>
        <w:t xml:space="preserve">ni bertentangan dengan </w:t>
      </w:r>
      <w:r w:rsidR="004517F3" w:rsidRPr="00BB211C">
        <w:rPr>
          <w:rFonts w:asciiTheme="majorBidi" w:hAnsiTheme="majorBidi" w:cstheme="majorBidi"/>
          <w:sz w:val="22"/>
          <w:szCs w:val="22"/>
          <w:lang w:val="en-US"/>
        </w:rPr>
        <w:t xml:space="preserve">salah satu asas penting di dalam hukum pidana, yaitu  </w:t>
      </w:r>
      <w:r w:rsidRPr="00BB211C">
        <w:rPr>
          <w:rFonts w:asciiTheme="majorBidi" w:hAnsiTheme="majorBidi" w:cstheme="majorBidi"/>
          <w:sz w:val="22"/>
          <w:szCs w:val="22"/>
        </w:rPr>
        <w:t>asas territoria</w:t>
      </w:r>
      <w:r w:rsidR="006400D9" w:rsidRPr="00BB211C">
        <w:rPr>
          <w:rFonts w:asciiTheme="majorBidi" w:hAnsiTheme="majorBidi" w:cstheme="majorBidi"/>
          <w:sz w:val="22"/>
          <w:szCs w:val="22"/>
          <w:lang w:val="en-US"/>
        </w:rPr>
        <w:t>l</w:t>
      </w:r>
      <w:r w:rsidR="004517F3" w:rsidRPr="00BB211C">
        <w:rPr>
          <w:rFonts w:asciiTheme="majorBidi" w:hAnsiTheme="majorBidi" w:cstheme="majorBidi"/>
          <w:sz w:val="22"/>
          <w:szCs w:val="22"/>
          <w:lang w:val="en-US"/>
        </w:rPr>
        <w:t>. Asas ini merupakan perlindungan terhadap masyarakat tempat terjadinya tindak pidana, karena masyarakat i</w:t>
      </w:r>
      <w:r w:rsidR="00B253E8" w:rsidRPr="00BB211C">
        <w:rPr>
          <w:rFonts w:asciiTheme="majorBidi" w:hAnsiTheme="majorBidi" w:cstheme="majorBidi"/>
          <w:sz w:val="22"/>
          <w:szCs w:val="22"/>
          <w:lang w:val="en-US"/>
        </w:rPr>
        <w:t>t</w:t>
      </w:r>
      <w:r w:rsidR="004517F3" w:rsidRPr="00BB211C">
        <w:rPr>
          <w:rFonts w:asciiTheme="majorBidi" w:hAnsiTheme="majorBidi" w:cstheme="majorBidi"/>
          <w:sz w:val="22"/>
          <w:szCs w:val="22"/>
          <w:lang w:val="en-US"/>
        </w:rPr>
        <w:t>ulah yang paling merasakan akibat dari tindak pidana yang terjadi.</w:t>
      </w:r>
      <w:r w:rsidR="001E2044" w:rsidRPr="00BB211C">
        <w:rPr>
          <w:rFonts w:asciiTheme="majorBidi" w:hAnsiTheme="majorBidi" w:cstheme="majorBidi"/>
          <w:sz w:val="22"/>
          <w:szCs w:val="22"/>
          <w:lang w:val="en-US"/>
        </w:rPr>
        <w:t xml:space="preserve"> </w:t>
      </w:r>
      <w:r w:rsidR="00B253E8" w:rsidRPr="00BB211C">
        <w:rPr>
          <w:rFonts w:asciiTheme="majorBidi" w:hAnsiTheme="majorBidi" w:cstheme="majorBidi"/>
          <w:sz w:val="22"/>
          <w:szCs w:val="22"/>
          <w:lang w:val="en-US"/>
        </w:rPr>
        <w:t>Jadi territorial ini bukan hanya dikaitkan dengan kewenangan pengadilan secara relativ yang terkait dengan l</w:t>
      </w:r>
      <w:r w:rsidR="001E2044" w:rsidRPr="00BB211C">
        <w:rPr>
          <w:rFonts w:asciiTheme="majorBidi" w:hAnsiTheme="majorBidi" w:cstheme="majorBidi"/>
          <w:sz w:val="22"/>
          <w:szCs w:val="22"/>
          <w:lang w:val="en-US"/>
        </w:rPr>
        <w:t>o</w:t>
      </w:r>
      <w:r w:rsidR="008014F9" w:rsidRPr="00BB211C">
        <w:rPr>
          <w:rFonts w:asciiTheme="majorBidi" w:hAnsiTheme="majorBidi" w:cstheme="majorBidi"/>
          <w:sz w:val="22"/>
          <w:szCs w:val="22"/>
          <w:lang w:val="en-US"/>
        </w:rPr>
        <w:t>k</w:t>
      </w:r>
      <w:r w:rsidR="001E2044" w:rsidRPr="00BB211C">
        <w:rPr>
          <w:rFonts w:asciiTheme="majorBidi" w:hAnsiTheme="majorBidi" w:cstheme="majorBidi"/>
          <w:sz w:val="22"/>
          <w:szCs w:val="22"/>
          <w:lang w:val="en-US"/>
        </w:rPr>
        <w:t>us delikti</w:t>
      </w:r>
      <w:r w:rsidR="00B36618" w:rsidRPr="00BB211C">
        <w:rPr>
          <w:rFonts w:asciiTheme="majorBidi" w:hAnsiTheme="majorBidi" w:cstheme="majorBidi"/>
          <w:sz w:val="22"/>
          <w:szCs w:val="22"/>
          <w:lang w:val="en-US"/>
        </w:rPr>
        <w:t>, m</w:t>
      </w:r>
      <w:r w:rsidR="008014F9" w:rsidRPr="00BB211C">
        <w:rPr>
          <w:rFonts w:asciiTheme="majorBidi" w:hAnsiTheme="majorBidi" w:cstheme="majorBidi"/>
          <w:sz w:val="22"/>
          <w:szCs w:val="22"/>
          <w:lang w:val="en-US"/>
        </w:rPr>
        <w:t>e</w:t>
      </w:r>
      <w:r w:rsidR="00B36618" w:rsidRPr="00BB211C">
        <w:rPr>
          <w:rFonts w:asciiTheme="majorBidi" w:hAnsiTheme="majorBidi" w:cstheme="majorBidi"/>
          <w:sz w:val="22"/>
          <w:szCs w:val="22"/>
          <w:lang w:val="en-US"/>
        </w:rPr>
        <w:t>lainkan yang paling penting adalah  terkait dengan hukum yang berlaku di dalam wilayah tertentu</w:t>
      </w:r>
      <w:r w:rsidR="001E2044" w:rsidRPr="00BB211C">
        <w:rPr>
          <w:rFonts w:asciiTheme="majorBidi" w:hAnsiTheme="majorBidi" w:cstheme="majorBidi"/>
          <w:sz w:val="22"/>
          <w:szCs w:val="22"/>
          <w:lang w:val="en-US"/>
        </w:rPr>
        <w:t>.</w:t>
      </w:r>
      <w:r w:rsidR="00B36618" w:rsidRPr="00BB211C">
        <w:rPr>
          <w:rFonts w:asciiTheme="majorBidi" w:hAnsiTheme="majorBidi" w:cstheme="majorBidi"/>
          <w:sz w:val="22"/>
          <w:szCs w:val="22"/>
          <w:lang w:val="en-US"/>
        </w:rPr>
        <w:t xml:space="preserve"> Hukum di sini dimaknakan keseluruhan aturan hukum pidana, baik hukum pidana materil yang berisi ketentuan perbuatan-perbuatan yang dapat dihukum dan jenis huku</w:t>
      </w:r>
      <w:r w:rsidR="008014F9" w:rsidRPr="00BB211C">
        <w:rPr>
          <w:rFonts w:asciiTheme="majorBidi" w:hAnsiTheme="majorBidi" w:cstheme="majorBidi"/>
          <w:sz w:val="22"/>
          <w:szCs w:val="22"/>
          <w:lang w:val="en-US"/>
        </w:rPr>
        <w:t>m</w:t>
      </w:r>
      <w:r w:rsidR="00B36618" w:rsidRPr="00BB211C">
        <w:rPr>
          <w:rFonts w:asciiTheme="majorBidi" w:hAnsiTheme="majorBidi" w:cstheme="majorBidi"/>
          <w:sz w:val="22"/>
          <w:szCs w:val="22"/>
          <w:lang w:val="en-US"/>
        </w:rPr>
        <w:t>an yang dapat dijatuhkan, maupun ketentuann hukum</w:t>
      </w:r>
      <w:r w:rsidR="00DE1E2C" w:rsidRPr="00BB211C">
        <w:rPr>
          <w:rFonts w:asciiTheme="majorBidi" w:hAnsiTheme="majorBidi" w:cstheme="majorBidi"/>
          <w:sz w:val="22"/>
          <w:szCs w:val="22"/>
          <w:lang w:val="en-US"/>
        </w:rPr>
        <w:t xml:space="preserve"> formil atau </w:t>
      </w:r>
      <w:r w:rsidR="00B36618" w:rsidRPr="00BB211C">
        <w:rPr>
          <w:rFonts w:asciiTheme="majorBidi" w:hAnsiTheme="majorBidi" w:cstheme="majorBidi"/>
          <w:sz w:val="22"/>
          <w:szCs w:val="22"/>
          <w:lang w:val="en-US"/>
        </w:rPr>
        <w:t xml:space="preserve"> </w:t>
      </w:r>
      <w:r w:rsidR="00DE1E2C" w:rsidRPr="00BB211C">
        <w:rPr>
          <w:rFonts w:asciiTheme="majorBidi" w:hAnsiTheme="majorBidi" w:cstheme="majorBidi"/>
          <w:sz w:val="22"/>
          <w:szCs w:val="22"/>
          <w:lang w:val="en-US"/>
        </w:rPr>
        <w:t>a</w:t>
      </w:r>
      <w:r w:rsidR="00B36618" w:rsidRPr="00BB211C">
        <w:rPr>
          <w:rFonts w:asciiTheme="majorBidi" w:hAnsiTheme="majorBidi" w:cstheme="majorBidi"/>
          <w:sz w:val="22"/>
          <w:szCs w:val="22"/>
          <w:lang w:val="en-US"/>
        </w:rPr>
        <w:t>caranya</w:t>
      </w:r>
      <w:r w:rsidR="0022604B" w:rsidRPr="00BB211C">
        <w:rPr>
          <w:rFonts w:asciiTheme="majorBidi" w:hAnsiTheme="majorBidi" w:cstheme="majorBidi"/>
          <w:sz w:val="22"/>
          <w:szCs w:val="22"/>
          <w:lang w:val="en-US"/>
        </w:rPr>
        <w:t xml:space="preserve"> mengenai kewenangan mengadili secara absolut</w:t>
      </w:r>
      <w:r w:rsidR="00DE1E2C" w:rsidRPr="00BB211C">
        <w:rPr>
          <w:rFonts w:asciiTheme="majorBidi" w:hAnsiTheme="majorBidi" w:cstheme="majorBidi"/>
          <w:sz w:val="22"/>
          <w:szCs w:val="22"/>
          <w:lang w:val="en-US"/>
        </w:rPr>
        <w:t>.</w:t>
      </w:r>
    </w:p>
    <w:p w14:paraId="2C0E558C" w14:textId="2861711D" w:rsidR="006400D9" w:rsidRPr="00BB211C" w:rsidRDefault="001E2044" w:rsidP="00376218">
      <w:pPr>
        <w:spacing w:before="0" w:beforeAutospacing="0" w:after="0" w:afterAutospacing="0" w:line="240" w:lineRule="auto"/>
        <w:ind w:firstLine="720"/>
        <w:jc w:val="both"/>
        <w:rPr>
          <w:rFonts w:asciiTheme="majorBidi" w:hAnsiTheme="majorBidi" w:cstheme="majorBidi"/>
          <w:sz w:val="22"/>
          <w:szCs w:val="22"/>
        </w:rPr>
      </w:pPr>
      <w:r w:rsidRPr="00BB211C">
        <w:rPr>
          <w:rFonts w:asciiTheme="majorBidi" w:hAnsiTheme="majorBidi" w:cstheme="majorBidi"/>
          <w:i/>
          <w:sz w:val="22"/>
          <w:szCs w:val="22"/>
          <w:lang w:val="en-US"/>
        </w:rPr>
        <w:t>Lo</w:t>
      </w:r>
      <w:r w:rsidR="00B253E8" w:rsidRPr="00BB211C">
        <w:rPr>
          <w:rFonts w:asciiTheme="majorBidi" w:hAnsiTheme="majorBidi" w:cstheme="majorBidi"/>
          <w:i/>
          <w:sz w:val="22"/>
          <w:szCs w:val="22"/>
          <w:lang w:val="en-US"/>
        </w:rPr>
        <w:t>c</w:t>
      </w:r>
      <w:r w:rsidRPr="00BB211C">
        <w:rPr>
          <w:rFonts w:asciiTheme="majorBidi" w:hAnsiTheme="majorBidi" w:cstheme="majorBidi"/>
          <w:i/>
          <w:sz w:val="22"/>
          <w:szCs w:val="22"/>
          <w:lang w:val="en-US"/>
        </w:rPr>
        <w:t>us del</w:t>
      </w:r>
      <w:r w:rsidR="00493935" w:rsidRPr="00BB211C">
        <w:rPr>
          <w:rFonts w:asciiTheme="majorBidi" w:hAnsiTheme="majorBidi" w:cstheme="majorBidi"/>
          <w:i/>
          <w:sz w:val="22"/>
          <w:szCs w:val="22"/>
          <w:lang w:val="en-US"/>
        </w:rPr>
        <w:t>i</w:t>
      </w:r>
      <w:r w:rsidR="00310049" w:rsidRPr="00BB211C">
        <w:rPr>
          <w:rFonts w:asciiTheme="majorBidi" w:hAnsiTheme="majorBidi" w:cstheme="majorBidi"/>
          <w:i/>
          <w:sz w:val="22"/>
          <w:szCs w:val="22"/>
          <w:lang w:val="en-US"/>
        </w:rPr>
        <w:t>c</w:t>
      </w:r>
      <w:r w:rsidRPr="00BB211C">
        <w:rPr>
          <w:rFonts w:asciiTheme="majorBidi" w:hAnsiTheme="majorBidi" w:cstheme="majorBidi"/>
          <w:i/>
          <w:sz w:val="22"/>
          <w:szCs w:val="22"/>
          <w:lang w:val="en-US"/>
        </w:rPr>
        <w:t>ti</w:t>
      </w:r>
      <w:r w:rsidRPr="00BB211C">
        <w:rPr>
          <w:rFonts w:asciiTheme="majorBidi" w:hAnsiTheme="majorBidi" w:cstheme="majorBidi"/>
          <w:sz w:val="22"/>
          <w:szCs w:val="22"/>
          <w:lang w:val="en-US"/>
        </w:rPr>
        <w:t xml:space="preserve"> adalah </w:t>
      </w:r>
      <w:r w:rsidR="006400D9" w:rsidRPr="00BB211C">
        <w:rPr>
          <w:rFonts w:asciiTheme="majorBidi" w:hAnsiTheme="majorBidi" w:cstheme="majorBidi"/>
          <w:sz w:val="22"/>
          <w:szCs w:val="22"/>
        </w:rPr>
        <w:t>“tempat kejadian dari kejahatan”. Sudah merupakan pemahaman umum bahwa teori lokus delikti</w:t>
      </w:r>
      <w:r w:rsidR="00310049" w:rsidRPr="00BB211C">
        <w:rPr>
          <w:rFonts w:asciiTheme="majorBidi" w:hAnsiTheme="majorBidi" w:cstheme="majorBidi"/>
          <w:sz w:val="22"/>
          <w:szCs w:val="22"/>
          <w:lang w:val="en-US"/>
        </w:rPr>
        <w:t xml:space="preserve"> </w:t>
      </w:r>
      <w:r w:rsidR="006400D9" w:rsidRPr="00BB211C">
        <w:rPr>
          <w:rFonts w:asciiTheme="majorBidi" w:hAnsiTheme="majorBidi" w:cstheme="majorBidi"/>
          <w:sz w:val="22"/>
          <w:szCs w:val="22"/>
        </w:rPr>
        <w:t>itu terbagi tiga</w:t>
      </w:r>
      <w:r w:rsidR="00B253E8" w:rsidRPr="00BB211C">
        <w:rPr>
          <w:rFonts w:asciiTheme="majorBidi" w:hAnsiTheme="majorBidi" w:cstheme="majorBidi"/>
          <w:sz w:val="22"/>
          <w:szCs w:val="22"/>
          <w:lang w:val="en-US"/>
        </w:rPr>
        <w:t>,</w:t>
      </w:r>
      <w:r w:rsidR="006400D9" w:rsidRPr="00BB211C">
        <w:rPr>
          <w:rFonts w:asciiTheme="majorBidi" w:hAnsiTheme="majorBidi" w:cstheme="majorBidi"/>
          <w:sz w:val="22"/>
          <w:szCs w:val="22"/>
        </w:rPr>
        <w:t xml:space="preserve"> yaitu </w:t>
      </w:r>
      <w:r w:rsidR="00310049" w:rsidRPr="00BB211C">
        <w:rPr>
          <w:rFonts w:asciiTheme="majorBidi" w:hAnsiTheme="majorBidi" w:cstheme="majorBidi"/>
          <w:sz w:val="22"/>
          <w:szCs w:val="22"/>
          <w:shd w:val="clear" w:color="auto" w:fill="FFFFFF"/>
        </w:rPr>
        <w:t>teori perbuatan materi</w:t>
      </w:r>
      <w:r w:rsidR="006400D9" w:rsidRPr="00BB211C">
        <w:rPr>
          <w:rFonts w:asciiTheme="majorBidi" w:hAnsiTheme="majorBidi" w:cstheme="majorBidi"/>
          <w:sz w:val="22"/>
          <w:szCs w:val="22"/>
          <w:shd w:val="clear" w:color="auto" w:fill="FFFFFF"/>
        </w:rPr>
        <w:t>l, teori instrumen dan teori akibat</w:t>
      </w:r>
      <w:r w:rsidR="006400D9" w:rsidRPr="00BB211C">
        <w:rPr>
          <w:rFonts w:asciiTheme="majorBidi" w:hAnsiTheme="majorBidi" w:cstheme="majorBidi"/>
          <w:sz w:val="22"/>
          <w:szCs w:val="22"/>
        </w:rPr>
        <w:t xml:space="preserve">. Eddy O.S. Hiariej menjelaskan bahwa berdasarkkan </w:t>
      </w:r>
      <w:r w:rsidR="00310049" w:rsidRPr="00BB211C">
        <w:rPr>
          <w:rFonts w:asciiTheme="majorBidi" w:hAnsiTheme="majorBidi" w:cstheme="majorBidi"/>
          <w:sz w:val="22"/>
          <w:szCs w:val="22"/>
          <w:lang w:val="en-US"/>
        </w:rPr>
        <w:t>t</w:t>
      </w:r>
      <w:r w:rsidR="006400D9" w:rsidRPr="00BB211C">
        <w:rPr>
          <w:rFonts w:asciiTheme="majorBidi" w:hAnsiTheme="majorBidi" w:cstheme="majorBidi"/>
          <w:sz w:val="22"/>
          <w:szCs w:val="22"/>
        </w:rPr>
        <w:t xml:space="preserve">eori </w:t>
      </w:r>
      <w:r w:rsidR="00310049" w:rsidRPr="00BB211C">
        <w:rPr>
          <w:rFonts w:asciiTheme="majorBidi" w:hAnsiTheme="majorBidi" w:cstheme="majorBidi"/>
          <w:sz w:val="22"/>
          <w:szCs w:val="22"/>
          <w:lang w:val="en-US"/>
        </w:rPr>
        <w:t>p</w:t>
      </w:r>
      <w:r w:rsidR="006400D9" w:rsidRPr="00BB211C">
        <w:rPr>
          <w:rFonts w:asciiTheme="majorBidi" w:hAnsiTheme="majorBidi" w:cstheme="majorBidi"/>
          <w:sz w:val="22"/>
          <w:szCs w:val="22"/>
        </w:rPr>
        <w:t xml:space="preserve">erbuatan </w:t>
      </w:r>
      <w:r w:rsidR="00310049" w:rsidRPr="00BB211C">
        <w:rPr>
          <w:rFonts w:asciiTheme="majorBidi" w:hAnsiTheme="majorBidi" w:cstheme="majorBidi"/>
          <w:sz w:val="22"/>
          <w:szCs w:val="22"/>
          <w:lang w:val="en-US"/>
        </w:rPr>
        <w:t>m</w:t>
      </w:r>
      <w:r w:rsidR="006400D9" w:rsidRPr="00BB211C">
        <w:rPr>
          <w:rFonts w:asciiTheme="majorBidi" w:hAnsiTheme="majorBidi" w:cstheme="majorBidi"/>
          <w:sz w:val="22"/>
          <w:szCs w:val="22"/>
        </w:rPr>
        <w:t>ateril (</w:t>
      </w:r>
      <w:r w:rsidR="006400D9" w:rsidRPr="00BB211C">
        <w:rPr>
          <w:rFonts w:asciiTheme="majorBidi" w:hAnsiTheme="majorBidi" w:cstheme="majorBidi"/>
          <w:i/>
          <w:sz w:val="22"/>
          <w:szCs w:val="22"/>
        </w:rPr>
        <w:t>de leer van de lichamelijke daad</w:t>
      </w:r>
      <w:r w:rsidR="006400D9" w:rsidRPr="00BB211C">
        <w:rPr>
          <w:rFonts w:asciiTheme="majorBidi" w:hAnsiTheme="majorBidi" w:cstheme="majorBidi"/>
          <w:sz w:val="22"/>
          <w:szCs w:val="22"/>
        </w:rPr>
        <w:t>)</w:t>
      </w:r>
      <w:r w:rsidR="00310049" w:rsidRPr="00BB211C">
        <w:rPr>
          <w:rFonts w:asciiTheme="majorBidi" w:hAnsiTheme="majorBidi" w:cstheme="majorBidi"/>
          <w:sz w:val="22"/>
          <w:szCs w:val="22"/>
          <w:lang w:val="en-US"/>
        </w:rPr>
        <w:t xml:space="preserve">, </w:t>
      </w:r>
      <w:r w:rsidR="00310049" w:rsidRPr="00BB211C">
        <w:rPr>
          <w:rFonts w:asciiTheme="majorBidi" w:hAnsiTheme="majorBidi" w:cstheme="majorBidi"/>
          <w:i/>
          <w:sz w:val="22"/>
          <w:szCs w:val="22"/>
          <w:lang w:val="en-US"/>
        </w:rPr>
        <w:t>l</w:t>
      </w:r>
      <w:r w:rsidR="006400D9" w:rsidRPr="00BB211C">
        <w:rPr>
          <w:rFonts w:asciiTheme="majorBidi" w:hAnsiTheme="majorBidi" w:cstheme="majorBidi"/>
          <w:i/>
          <w:sz w:val="22"/>
          <w:szCs w:val="22"/>
        </w:rPr>
        <w:t xml:space="preserve">ocus </w:t>
      </w:r>
      <w:r w:rsidR="00310049" w:rsidRPr="00BB211C">
        <w:rPr>
          <w:rFonts w:asciiTheme="majorBidi" w:hAnsiTheme="majorBidi" w:cstheme="majorBidi"/>
          <w:i/>
          <w:sz w:val="22"/>
          <w:szCs w:val="22"/>
          <w:lang w:val="en-US"/>
        </w:rPr>
        <w:t>d</w:t>
      </w:r>
      <w:r w:rsidR="006400D9" w:rsidRPr="00BB211C">
        <w:rPr>
          <w:rFonts w:asciiTheme="majorBidi" w:hAnsiTheme="majorBidi" w:cstheme="majorBidi"/>
          <w:i/>
          <w:sz w:val="22"/>
          <w:szCs w:val="22"/>
        </w:rPr>
        <w:t>elict</w:t>
      </w:r>
      <w:r w:rsidR="00310049" w:rsidRPr="00BB211C">
        <w:rPr>
          <w:rFonts w:asciiTheme="majorBidi" w:hAnsiTheme="majorBidi" w:cstheme="majorBidi"/>
          <w:i/>
          <w:sz w:val="22"/>
          <w:szCs w:val="22"/>
          <w:lang w:val="en-US"/>
        </w:rPr>
        <w:t>i</w:t>
      </w:r>
      <w:r w:rsidR="006400D9" w:rsidRPr="00BB211C">
        <w:rPr>
          <w:rFonts w:asciiTheme="majorBidi" w:hAnsiTheme="majorBidi" w:cstheme="majorBidi"/>
          <w:sz w:val="22"/>
          <w:szCs w:val="22"/>
        </w:rPr>
        <w:t xml:space="preserve"> itu adalah tempat dimana tindakan atau kelakuan terjadi</w:t>
      </w:r>
      <w:r w:rsidR="00652C37" w:rsidRPr="00BB211C">
        <w:rPr>
          <w:rFonts w:asciiTheme="majorBidi" w:hAnsiTheme="majorBidi" w:cstheme="majorBidi"/>
          <w:sz w:val="22"/>
          <w:szCs w:val="22"/>
          <w:lang w:val="en-US"/>
        </w:rPr>
        <w:t xml:space="preserve"> </w:t>
      </w:r>
      <w:r w:rsidR="00712ED2">
        <w:rPr>
          <w:rStyle w:val="FootnoteReference"/>
          <w:rFonts w:asciiTheme="majorBidi" w:hAnsiTheme="majorBidi" w:cstheme="majorBidi"/>
          <w:sz w:val="22"/>
          <w:szCs w:val="22"/>
          <w:lang w:val="en-US"/>
        </w:rPr>
        <w:footnoteReference w:id="5"/>
      </w:r>
      <w:r w:rsidR="006400D9" w:rsidRPr="00BB211C">
        <w:rPr>
          <w:rFonts w:asciiTheme="majorBidi" w:hAnsiTheme="majorBidi" w:cstheme="majorBidi"/>
          <w:sz w:val="22"/>
          <w:szCs w:val="22"/>
        </w:rPr>
        <w:t xml:space="preserve">. Teori ini lebih mudah diterapkan pada delik yang dirumuskan secara materil. Oleh karena itulah  terdapat celah hukum karena akibatnya tidak terjadi pada tempat yang sama dengan tindakan yang dilakukan. berdasarkan </w:t>
      </w:r>
      <w:r w:rsidR="005256DF" w:rsidRPr="00BB211C">
        <w:rPr>
          <w:rFonts w:asciiTheme="majorBidi" w:hAnsiTheme="majorBidi" w:cstheme="majorBidi"/>
          <w:sz w:val="22"/>
          <w:szCs w:val="22"/>
        </w:rPr>
        <w:t>t</w:t>
      </w:r>
      <w:r w:rsidR="006400D9" w:rsidRPr="00BB211C">
        <w:rPr>
          <w:rFonts w:asciiTheme="majorBidi" w:hAnsiTheme="majorBidi" w:cstheme="majorBidi"/>
          <w:sz w:val="22"/>
          <w:szCs w:val="22"/>
        </w:rPr>
        <w:t xml:space="preserve">eori </w:t>
      </w:r>
      <w:r w:rsidR="005256DF" w:rsidRPr="00BB211C">
        <w:rPr>
          <w:rFonts w:asciiTheme="majorBidi" w:hAnsiTheme="majorBidi" w:cstheme="majorBidi"/>
          <w:sz w:val="22"/>
          <w:szCs w:val="22"/>
        </w:rPr>
        <w:t>i</w:t>
      </w:r>
      <w:r w:rsidR="006400D9" w:rsidRPr="00BB211C">
        <w:rPr>
          <w:rFonts w:asciiTheme="majorBidi" w:hAnsiTheme="majorBidi" w:cstheme="majorBidi"/>
          <w:sz w:val="22"/>
          <w:szCs w:val="22"/>
        </w:rPr>
        <w:t>nstrumen (</w:t>
      </w:r>
      <w:r w:rsidR="006400D9" w:rsidRPr="00BB211C">
        <w:rPr>
          <w:rFonts w:asciiTheme="majorBidi" w:hAnsiTheme="majorBidi" w:cstheme="majorBidi"/>
          <w:i/>
          <w:sz w:val="22"/>
          <w:szCs w:val="22"/>
        </w:rPr>
        <w:t>leer van instrumen</w:t>
      </w:r>
      <w:r w:rsidR="006400D9" w:rsidRPr="00BB211C">
        <w:rPr>
          <w:rFonts w:asciiTheme="majorBidi" w:hAnsiTheme="majorBidi" w:cstheme="majorBidi"/>
          <w:sz w:val="22"/>
          <w:szCs w:val="22"/>
        </w:rPr>
        <w:t xml:space="preserve">) </w:t>
      </w:r>
      <w:r w:rsidR="006400D9" w:rsidRPr="00BB211C">
        <w:rPr>
          <w:rFonts w:asciiTheme="majorBidi" w:hAnsiTheme="majorBidi" w:cstheme="majorBidi"/>
          <w:i/>
          <w:sz w:val="22"/>
          <w:szCs w:val="22"/>
        </w:rPr>
        <w:t>Locus Delicti</w:t>
      </w:r>
      <w:r w:rsidR="006400D9" w:rsidRPr="00BB211C">
        <w:rPr>
          <w:rFonts w:asciiTheme="majorBidi" w:hAnsiTheme="majorBidi" w:cstheme="majorBidi"/>
          <w:sz w:val="22"/>
          <w:szCs w:val="22"/>
        </w:rPr>
        <w:t xml:space="preserve"> ditentukan oleh alat yang dipergunakan dan dengan alat itu tindak pidana diselesaikan. Teori instrumen ini sangat berarti dalam kejahat</w:t>
      </w:r>
      <w:r w:rsidR="00310049" w:rsidRPr="00BB211C">
        <w:rPr>
          <w:rFonts w:asciiTheme="majorBidi" w:hAnsiTheme="majorBidi" w:cstheme="majorBidi"/>
          <w:sz w:val="22"/>
          <w:szCs w:val="22"/>
          <w:lang w:val="en-US"/>
        </w:rPr>
        <w:t>a</w:t>
      </w:r>
      <w:r w:rsidR="006400D9" w:rsidRPr="00BB211C">
        <w:rPr>
          <w:rFonts w:asciiTheme="majorBidi" w:hAnsiTheme="majorBidi" w:cstheme="majorBidi"/>
          <w:sz w:val="22"/>
          <w:szCs w:val="22"/>
        </w:rPr>
        <w:t>n</w:t>
      </w:r>
      <w:r w:rsidR="00310049" w:rsidRPr="00BB211C">
        <w:rPr>
          <w:rFonts w:asciiTheme="majorBidi" w:hAnsiTheme="majorBidi" w:cstheme="majorBidi"/>
          <w:sz w:val="22"/>
          <w:szCs w:val="22"/>
          <w:lang w:val="en-US"/>
        </w:rPr>
        <w:t>-</w:t>
      </w:r>
      <w:r w:rsidR="006400D9" w:rsidRPr="00BB211C">
        <w:rPr>
          <w:rFonts w:asciiTheme="majorBidi" w:hAnsiTheme="majorBidi" w:cstheme="majorBidi"/>
          <w:sz w:val="22"/>
          <w:szCs w:val="22"/>
        </w:rPr>
        <w:t xml:space="preserve">kejahatan yang modus operandinya canggih atau terjadi pada lintas batas. Terakhir berdasarkan  </w:t>
      </w:r>
      <w:r w:rsidR="00310049" w:rsidRPr="00BB211C">
        <w:rPr>
          <w:rFonts w:asciiTheme="majorBidi" w:hAnsiTheme="majorBidi" w:cstheme="majorBidi"/>
          <w:sz w:val="22"/>
          <w:szCs w:val="22"/>
          <w:lang w:val="en-US"/>
        </w:rPr>
        <w:t>t</w:t>
      </w:r>
      <w:r w:rsidR="006400D9" w:rsidRPr="00BB211C">
        <w:rPr>
          <w:rFonts w:asciiTheme="majorBidi" w:hAnsiTheme="majorBidi" w:cstheme="majorBidi"/>
          <w:sz w:val="22"/>
          <w:szCs w:val="22"/>
        </w:rPr>
        <w:t xml:space="preserve">eori </w:t>
      </w:r>
      <w:r w:rsidR="00310049" w:rsidRPr="00BB211C">
        <w:rPr>
          <w:rFonts w:asciiTheme="majorBidi" w:hAnsiTheme="majorBidi" w:cstheme="majorBidi"/>
          <w:sz w:val="22"/>
          <w:szCs w:val="22"/>
          <w:lang w:val="en-US"/>
        </w:rPr>
        <w:t>a</w:t>
      </w:r>
      <w:r w:rsidR="006400D9" w:rsidRPr="00BB211C">
        <w:rPr>
          <w:rFonts w:asciiTheme="majorBidi" w:hAnsiTheme="majorBidi" w:cstheme="majorBidi"/>
          <w:sz w:val="22"/>
          <w:szCs w:val="22"/>
        </w:rPr>
        <w:t>kibat</w:t>
      </w:r>
      <w:r w:rsidR="00310049" w:rsidRPr="00BB211C">
        <w:rPr>
          <w:rFonts w:asciiTheme="majorBidi" w:hAnsiTheme="majorBidi" w:cstheme="majorBidi"/>
          <w:sz w:val="22"/>
          <w:szCs w:val="22"/>
          <w:lang w:val="en-US"/>
        </w:rPr>
        <w:t xml:space="preserve">, </w:t>
      </w:r>
      <w:r w:rsidR="006400D9" w:rsidRPr="00BB211C">
        <w:rPr>
          <w:rFonts w:asciiTheme="majorBidi" w:hAnsiTheme="majorBidi" w:cstheme="majorBidi"/>
          <w:sz w:val="22"/>
          <w:szCs w:val="22"/>
        </w:rPr>
        <w:t xml:space="preserve">locus delikti didasarkan kepada akibat dari suatu tindak pidana. Menurut ajaran ini bahwa yang dianggap sebagai </w:t>
      </w:r>
      <w:r w:rsidR="006400D9" w:rsidRPr="00BB211C">
        <w:rPr>
          <w:rFonts w:asciiTheme="majorBidi" w:hAnsiTheme="majorBidi" w:cstheme="majorBidi"/>
          <w:i/>
          <w:sz w:val="22"/>
          <w:szCs w:val="22"/>
        </w:rPr>
        <w:t>locus delicti</w:t>
      </w:r>
      <w:r w:rsidR="006400D9" w:rsidRPr="00BB211C">
        <w:rPr>
          <w:rFonts w:asciiTheme="majorBidi" w:hAnsiTheme="majorBidi" w:cstheme="majorBidi"/>
          <w:sz w:val="22"/>
          <w:szCs w:val="22"/>
        </w:rPr>
        <w:t xml:space="preserve"> adalah tempat dimana “akibat” tindak pidana tersebut timbul. </w:t>
      </w:r>
    </w:p>
    <w:p w14:paraId="3CF4A404" w14:textId="411C0BA3" w:rsidR="006400D9" w:rsidRPr="00BB211C" w:rsidRDefault="006400D9" w:rsidP="00376218">
      <w:pPr>
        <w:spacing w:before="0" w:beforeAutospacing="0" w:after="0" w:afterAutospacing="0" w:line="240" w:lineRule="auto"/>
        <w:ind w:firstLine="720"/>
        <w:jc w:val="both"/>
        <w:rPr>
          <w:rFonts w:asciiTheme="majorBidi" w:hAnsiTheme="majorBidi" w:cstheme="majorBidi"/>
          <w:sz w:val="22"/>
          <w:szCs w:val="22"/>
          <w:lang w:val="en-US"/>
        </w:rPr>
      </w:pPr>
      <w:r w:rsidRPr="00BB211C">
        <w:rPr>
          <w:rFonts w:asciiTheme="majorBidi" w:hAnsiTheme="majorBidi" w:cstheme="majorBidi"/>
          <w:sz w:val="22"/>
          <w:szCs w:val="22"/>
        </w:rPr>
        <w:t>Kaitannya dengan pembahasan ini adalah dalam hal akibat yang ditimbulkan oleh suatu tindak pidana</w:t>
      </w:r>
      <w:r w:rsidR="00475310" w:rsidRPr="00BB211C">
        <w:rPr>
          <w:rFonts w:asciiTheme="majorBidi" w:hAnsiTheme="majorBidi" w:cstheme="majorBidi"/>
          <w:sz w:val="22"/>
          <w:szCs w:val="22"/>
          <w:lang w:val="en-US"/>
        </w:rPr>
        <w:t xml:space="preserve"> pada  tempat terjadinya </w:t>
      </w:r>
      <w:r w:rsidR="00436866" w:rsidRPr="00BB211C">
        <w:rPr>
          <w:rFonts w:asciiTheme="majorBidi" w:hAnsiTheme="majorBidi" w:cstheme="majorBidi"/>
          <w:sz w:val="22"/>
          <w:szCs w:val="22"/>
        </w:rPr>
        <w:t>t</w:t>
      </w:r>
      <w:r w:rsidR="00475310" w:rsidRPr="00BB211C">
        <w:rPr>
          <w:rFonts w:asciiTheme="majorBidi" w:hAnsiTheme="majorBidi" w:cstheme="majorBidi"/>
          <w:sz w:val="22"/>
          <w:szCs w:val="22"/>
          <w:lang w:val="en-US"/>
        </w:rPr>
        <w:t>indak pidana</w:t>
      </w:r>
      <w:r w:rsidRPr="00BB211C">
        <w:rPr>
          <w:rFonts w:asciiTheme="majorBidi" w:hAnsiTheme="majorBidi" w:cstheme="majorBidi"/>
          <w:sz w:val="22"/>
          <w:szCs w:val="22"/>
        </w:rPr>
        <w:t>. Hal ini tentu erat kaitannya dengan korban suatu tindak pidana. Korban dimaksud adalah korban dalam pengertian luas, yaitu rusaknya tatanan kemasyarakatan. Masyarakat Aceh yang kental dengan nuansa keagamaan yang mendasari nilai-nilai dalam berp</w:t>
      </w:r>
      <w:r w:rsidR="00310049" w:rsidRPr="00BB211C">
        <w:rPr>
          <w:rFonts w:asciiTheme="majorBidi" w:hAnsiTheme="majorBidi" w:cstheme="majorBidi"/>
          <w:sz w:val="22"/>
          <w:szCs w:val="22"/>
          <w:lang w:val="en-US"/>
        </w:rPr>
        <w:t>e</w:t>
      </w:r>
      <w:r w:rsidRPr="00BB211C">
        <w:rPr>
          <w:rFonts w:asciiTheme="majorBidi" w:hAnsiTheme="majorBidi" w:cstheme="majorBidi"/>
          <w:sz w:val="22"/>
          <w:szCs w:val="22"/>
        </w:rPr>
        <w:t>rilaku</w:t>
      </w:r>
      <w:r w:rsidR="00B253E8" w:rsidRPr="00BB211C">
        <w:rPr>
          <w:rFonts w:asciiTheme="majorBidi" w:hAnsiTheme="majorBidi" w:cstheme="majorBidi"/>
          <w:sz w:val="22"/>
          <w:szCs w:val="22"/>
          <w:lang w:val="en-US"/>
        </w:rPr>
        <w:t>,</w:t>
      </w:r>
      <w:r w:rsidRPr="00BB211C">
        <w:rPr>
          <w:rFonts w:asciiTheme="majorBidi" w:hAnsiTheme="majorBidi" w:cstheme="majorBidi"/>
          <w:sz w:val="22"/>
          <w:szCs w:val="22"/>
        </w:rPr>
        <w:t xml:space="preserve"> akan terusik dengan tidakan seseorang yang bertentangan dengan nilai terebut.</w:t>
      </w:r>
      <w:r w:rsidR="00436866" w:rsidRPr="00BB211C">
        <w:rPr>
          <w:rFonts w:asciiTheme="majorBidi" w:hAnsiTheme="majorBidi" w:cstheme="majorBidi"/>
          <w:sz w:val="22"/>
          <w:szCs w:val="22"/>
        </w:rPr>
        <w:t xml:space="preserve"> Oleh karena itu, mestinya</w:t>
      </w:r>
      <w:r w:rsidR="008014F9" w:rsidRPr="00BB211C">
        <w:rPr>
          <w:rFonts w:asciiTheme="majorBidi" w:hAnsiTheme="majorBidi" w:cstheme="majorBidi"/>
          <w:sz w:val="22"/>
          <w:szCs w:val="22"/>
        </w:rPr>
        <w:t>,</w:t>
      </w:r>
      <w:r w:rsidR="00436866" w:rsidRPr="00BB211C">
        <w:rPr>
          <w:rFonts w:asciiTheme="majorBidi" w:hAnsiTheme="majorBidi" w:cstheme="majorBidi"/>
          <w:sz w:val="22"/>
          <w:szCs w:val="22"/>
        </w:rPr>
        <w:t xml:space="preserve"> untuk menjaga keseimbangan di dalam suatu wilayah</w:t>
      </w:r>
      <w:r w:rsidR="00EB72EA" w:rsidRPr="00BB211C">
        <w:rPr>
          <w:rFonts w:asciiTheme="majorBidi" w:hAnsiTheme="majorBidi" w:cstheme="majorBidi"/>
          <w:sz w:val="22"/>
          <w:szCs w:val="22"/>
        </w:rPr>
        <w:t>, perlu</w:t>
      </w:r>
      <w:r w:rsidR="00436866" w:rsidRPr="00BB211C">
        <w:rPr>
          <w:rFonts w:asciiTheme="majorBidi" w:hAnsiTheme="majorBidi" w:cstheme="majorBidi"/>
          <w:sz w:val="22"/>
          <w:szCs w:val="22"/>
        </w:rPr>
        <w:t xml:space="preserve"> </w:t>
      </w:r>
      <w:r w:rsidR="00EB72EA" w:rsidRPr="00BB211C">
        <w:rPr>
          <w:rFonts w:asciiTheme="majorBidi" w:hAnsiTheme="majorBidi" w:cstheme="majorBidi"/>
          <w:sz w:val="22"/>
          <w:szCs w:val="22"/>
        </w:rPr>
        <w:t>di</w:t>
      </w:r>
      <w:r w:rsidR="00436866" w:rsidRPr="00BB211C">
        <w:rPr>
          <w:rFonts w:asciiTheme="majorBidi" w:hAnsiTheme="majorBidi" w:cstheme="majorBidi"/>
          <w:sz w:val="22"/>
          <w:szCs w:val="22"/>
        </w:rPr>
        <w:t>ikuti hukum di wilayah itu</w:t>
      </w:r>
      <w:r w:rsidR="00EB72EA" w:rsidRPr="00BB211C">
        <w:rPr>
          <w:rFonts w:asciiTheme="majorBidi" w:hAnsiTheme="majorBidi" w:cstheme="majorBidi"/>
          <w:sz w:val="22"/>
          <w:szCs w:val="22"/>
        </w:rPr>
        <w:t>.</w:t>
      </w:r>
      <w:r w:rsidR="00436866" w:rsidRPr="00BB211C">
        <w:rPr>
          <w:rFonts w:asciiTheme="majorBidi" w:hAnsiTheme="majorBidi" w:cstheme="majorBidi"/>
          <w:sz w:val="22"/>
          <w:szCs w:val="22"/>
        </w:rPr>
        <w:t xml:space="preserve"> </w:t>
      </w:r>
      <w:r w:rsidR="00EB72EA" w:rsidRPr="00BB211C">
        <w:rPr>
          <w:rFonts w:asciiTheme="majorBidi" w:hAnsiTheme="majorBidi" w:cstheme="majorBidi"/>
          <w:sz w:val="22"/>
          <w:szCs w:val="22"/>
          <w:lang w:val="en-US"/>
        </w:rPr>
        <w:t>D</w:t>
      </w:r>
      <w:r w:rsidR="00436866" w:rsidRPr="00BB211C">
        <w:rPr>
          <w:rFonts w:asciiTheme="majorBidi" w:hAnsiTheme="majorBidi" w:cstheme="majorBidi"/>
          <w:sz w:val="22"/>
          <w:szCs w:val="22"/>
        </w:rPr>
        <w:t xml:space="preserve">i sana terdapat tatanan </w:t>
      </w:r>
      <w:r w:rsidR="00EB72EA" w:rsidRPr="00BB211C">
        <w:rPr>
          <w:rFonts w:asciiTheme="majorBidi" w:hAnsiTheme="majorBidi" w:cstheme="majorBidi"/>
          <w:sz w:val="22"/>
          <w:szCs w:val="22"/>
          <w:lang w:val="en-US"/>
        </w:rPr>
        <w:t xml:space="preserve">khusus </w:t>
      </w:r>
      <w:r w:rsidR="00436866" w:rsidRPr="00BB211C">
        <w:rPr>
          <w:rFonts w:asciiTheme="majorBidi" w:hAnsiTheme="majorBidi" w:cstheme="majorBidi"/>
          <w:sz w:val="22"/>
          <w:szCs w:val="22"/>
        </w:rPr>
        <w:t>dan kalau tatanan tersebut terganggu, terdapat pula bagaimana cara memulihkannya, yakni</w:t>
      </w:r>
      <w:r w:rsidR="0022604B" w:rsidRPr="00BB211C">
        <w:rPr>
          <w:rFonts w:asciiTheme="majorBidi" w:hAnsiTheme="majorBidi" w:cstheme="majorBidi"/>
          <w:sz w:val="22"/>
          <w:szCs w:val="22"/>
        </w:rPr>
        <w:t xml:space="preserve"> </w:t>
      </w:r>
      <w:r w:rsidR="00436866" w:rsidRPr="00BB211C">
        <w:rPr>
          <w:rFonts w:asciiTheme="majorBidi" w:hAnsiTheme="majorBidi" w:cstheme="majorBidi"/>
          <w:sz w:val="22"/>
          <w:szCs w:val="22"/>
        </w:rPr>
        <w:t>memberikan sanksi tertentu dengan cara-cara tertentu pula.</w:t>
      </w:r>
      <w:r w:rsidR="0022604B" w:rsidRPr="00BB211C">
        <w:rPr>
          <w:rFonts w:asciiTheme="majorBidi" w:hAnsiTheme="majorBidi" w:cstheme="majorBidi"/>
          <w:sz w:val="22"/>
          <w:szCs w:val="22"/>
        </w:rPr>
        <w:t xml:space="preserve"> </w:t>
      </w:r>
      <w:r w:rsidR="0022604B" w:rsidRPr="00BB211C">
        <w:rPr>
          <w:rFonts w:asciiTheme="majorBidi" w:hAnsiTheme="majorBidi" w:cstheme="majorBidi"/>
          <w:sz w:val="22"/>
          <w:szCs w:val="22"/>
          <w:lang w:val="en-US"/>
        </w:rPr>
        <w:t>Tatanan yang tertuang ke dalam norma berasal dari nilai-nilai yang dianut dan sudah berurat berakar di dalam masyarakat yang bersangkutan.</w:t>
      </w:r>
    </w:p>
    <w:p w14:paraId="2D604882" w14:textId="60DCDE8D" w:rsidR="0073019F" w:rsidRPr="00BB211C" w:rsidRDefault="0073019F" w:rsidP="00376218">
      <w:pPr>
        <w:spacing w:before="0" w:beforeAutospacing="0" w:after="0" w:afterAutospacing="0" w:line="240" w:lineRule="auto"/>
        <w:ind w:firstLine="720"/>
        <w:jc w:val="both"/>
        <w:rPr>
          <w:rFonts w:asciiTheme="majorBidi" w:hAnsiTheme="majorBidi" w:cstheme="majorBidi"/>
          <w:sz w:val="22"/>
          <w:szCs w:val="22"/>
        </w:rPr>
      </w:pPr>
      <w:r w:rsidRPr="00BB211C">
        <w:rPr>
          <w:rFonts w:asciiTheme="majorBidi" w:hAnsiTheme="majorBidi" w:cstheme="majorBidi"/>
          <w:sz w:val="22"/>
          <w:szCs w:val="22"/>
        </w:rPr>
        <w:t>Perlindungan wilayah melalui asas territorial sangat perlu</w:t>
      </w:r>
      <w:r w:rsidR="00503471" w:rsidRPr="00BB211C">
        <w:rPr>
          <w:rFonts w:asciiTheme="majorBidi" w:hAnsiTheme="majorBidi" w:cstheme="majorBidi"/>
          <w:sz w:val="22"/>
          <w:szCs w:val="22"/>
          <w:lang w:val="en-US"/>
        </w:rPr>
        <w:t xml:space="preserve">. Perlindungan wilayah ini </w:t>
      </w:r>
      <w:r w:rsidR="005256DF" w:rsidRPr="00BB211C">
        <w:rPr>
          <w:rFonts w:asciiTheme="majorBidi" w:hAnsiTheme="majorBidi" w:cstheme="majorBidi"/>
          <w:sz w:val="22"/>
          <w:szCs w:val="22"/>
        </w:rPr>
        <w:t xml:space="preserve"> </w:t>
      </w:r>
      <w:r w:rsidRPr="00BB211C">
        <w:rPr>
          <w:rFonts w:asciiTheme="majorBidi" w:hAnsiTheme="majorBidi" w:cstheme="majorBidi"/>
          <w:sz w:val="22"/>
          <w:szCs w:val="22"/>
        </w:rPr>
        <w:t xml:space="preserve">menitikberatkan kepada wilayah terjadinya perbuatan, bukan melihat kepada siapa yang melakukannya. </w:t>
      </w:r>
      <w:r w:rsidR="00503471" w:rsidRPr="00BB211C">
        <w:rPr>
          <w:rFonts w:asciiTheme="majorBidi" w:hAnsiTheme="majorBidi" w:cstheme="majorBidi"/>
          <w:sz w:val="22"/>
          <w:szCs w:val="22"/>
          <w:lang w:val="en-US"/>
        </w:rPr>
        <w:t xml:space="preserve">Di </w:t>
      </w:r>
      <w:r w:rsidRPr="00BB211C">
        <w:rPr>
          <w:rFonts w:asciiTheme="majorBidi" w:hAnsiTheme="majorBidi" w:cstheme="majorBidi"/>
          <w:sz w:val="22"/>
          <w:szCs w:val="22"/>
        </w:rPr>
        <w:t xml:space="preserve">dalam KUHP hal ini secara tegas dinyatakan, yaitu di dalam Pasal 2 : “Aturan pidana dalam undang-undang Indonesia berlaku bagi setiap orang yang melakukan sesuatu tindak </w:t>
      </w:r>
      <w:r w:rsidRPr="00BB211C">
        <w:rPr>
          <w:rFonts w:asciiTheme="majorBidi" w:hAnsiTheme="majorBidi" w:cstheme="majorBidi"/>
          <w:sz w:val="22"/>
          <w:szCs w:val="22"/>
        </w:rPr>
        <w:lastRenderedPageBreak/>
        <w:t xml:space="preserve">pidana di wilayah Indonesia”. Begitu penting asas ini, di dalam Pasal 3 KUHP diperluas lagi: “peraturan pidana Indonesia dapat diterapkan kepada setiap orang yang berada di luar negeri yang melakukan suatu tindak pidana dalam perahu </w:t>
      </w:r>
      <w:r w:rsidRPr="00BB211C">
        <w:rPr>
          <w:rFonts w:asciiTheme="majorBidi" w:hAnsiTheme="majorBidi" w:cstheme="majorBidi"/>
          <w:i/>
          <w:iCs/>
          <w:sz w:val="22"/>
          <w:szCs w:val="22"/>
        </w:rPr>
        <w:t>(vaartuig)</w:t>
      </w:r>
      <w:r w:rsidRPr="00BB211C">
        <w:rPr>
          <w:rFonts w:asciiTheme="majorBidi" w:hAnsiTheme="majorBidi" w:cstheme="majorBidi"/>
          <w:sz w:val="22"/>
          <w:szCs w:val="22"/>
        </w:rPr>
        <w:t xml:space="preserve"> Indonesia”. Mak</w:t>
      </w:r>
      <w:r w:rsidR="00B253E8" w:rsidRPr="00BB211C">
        <w:rPr>
          <w:rFonts w:asciiTheme="majorBidi" w:hAnsiTheme="majorBidi" w:cstheme="majorBidi"/>
          <w:sz w:val="22"/>
          <w:szCs w:val="22"/>
        </w:rPr>
        <w:t>n</w:t>
      </w:r>
      <w:r w:rsidRPr="00BB211C">
        <w:rPr>
          <w:rFonts w:asciiTheme="majorBidi" w:hAnsiTheme="majorBidi" w:cstheme="majorBidi"/>
          <w:sz w:val="22"/>
          <w:szCs w:val="22"/>
        </w:rPr>
        <w:t>a dari pasal 3 KUHP ini adalah perluasan wilayah, yaitu kapal Indonesia</w:t>
      </w:r>
      <w:r w:rsidR="00B253E8" w:rsidRPr="00BB211C">
        <w:rPr>
          <w:rFonts w:asciiTheme="majorBidi" w:hAnsiTheme="majorBidi" w:cstheme="majorBidi"/>
          <w:sz w:val="22"/>
          <w:szCs w:val="22"/>
        </w:rPr>
        <w:t>,</w:t>
      </w:r>
      <w:r w:rsidRPr="00BB211C">
        <w:rPr>
          <w:rFonts w:asciiTheme="majorBidi" w:hAnsiTheme="majorBidi" w:cstheme="majorBidi"/>
          <w:sz w:val="22"/>
          <w:szCs w:val="22"/>
        </w:rPr>
        <w:t xml:space="preserve"> di mana pun berada</w:t>
      </w:r>
      <w:r w:rsidR="00B253E8" w:rsidRPr="00BB211C">
        <w:rPr>
          <w:rFonts w:asciiTheme="majorBidi" w:hAnsiTheme="majorBidi" w:cstheme="majorBidi"/>
          <w:sz w:val="22"/>
          <w:szCs w:val="22"/>
        </w:rPr>
        <w:t>,</w:t>
      </w:r>
      <w:r w:rsidRPr="00BB211C">
        <w:rPr>
          <w:rFonts w:asciiTheme="majorBidi" w:hAnsiTheme="majorBidi" w:cstheme="majorBidi"/>
          <w:sz w:val="22"/>
          <w:szCs w:val="22"/>
        </w:rPr>
        <w:t xml:space="preserve"> adalah wilayah Indonesia, artinya siapa pun yang melakukan kejahatan di dalam kapal Indonesia tetap diberlakukan hukum Indonesia.</w:t>
      </w:r>
      <w:r w:rsidR="00503471" w:rsidRPr="00BB211C">
        <w:rPr>
          <w:rFonts w:asciiTheme="majorBidi" w:hAnsiTheme="majorBidi" w:cstheme="majorBidi"/>
          <w:sz w:val="22"/>
          <w:szCs w:val="22"/>
        </w:rPr>
        <w:t xml:space="preserve"> Kalau dikaitkan dengan Qanun Aceh, maka siapa pun yang melakukan tindak pidana di wilayah Aceh harus diberlakukan Qanun Aceh. </w:t>
      </w:r>
    </w:p>
    <w:p w14:paraId="66BF2EB1" w14:textId="4B8FA38E" w:rsidR="00C30D23" w:rsidRPr="00BB211C" w:rsidRDefault="00B253E8" w:rsidP="00376218">
      <w:pPr>
        <w:spacing w:before="0" w:beforeAutospacing="0" w:after="0" w:afterAutospacing="0" w:line="240" w:lineRule="auto"/>
        <w:ind w:firstLine="720"/>
        <w:jc w:val="both"/>
        <w:rPr>
          <w:rFonts w:asciiTheme="majorBidi" w:hAnsiTheme="majorBidi" w:cstheme="majorBidi"/>
          <w:sz w:val="22"/>
          <w:szCs w:val="22"/>
          <w:lang w:val="en-US"/>
        </w:rPr>
      </w:pPr>
      <w:r w:rsidRPr="00BB211C">
        <w:rPr>
          <w:rFonts w:asciiTheme="majorBidi" w:hAnsiTheme="majorBidi" w:cstheme="majorBidi"/>
          <w:sz w:val="22"/>
          <w:szCs w:val="22"/>
        </w:rPr>
        <w:t xml:space="preserve">Implementasi dari penundukan diri </w:t>
      </w:r>
      <w:r w:rsidR="001A0F1F" w:rsidRPr="00BB211C">
        <w:rPr>
          <w:rFonts w:asciiTheme="majorBidi" w:hAnsiTheme="majorBidi" w:cstheme="majorBidi"/>
          <w:sz w:val="22"/>
          <w:szCs w:val="22"/>
        </w:rPr>
        <w:t xml:space="preserve">di lingkungan Mahkamah </w:t>
      </w:r>
      <w:r w:rsidR="005256DF" w:rsidRPr="00BB211C">
        <w:rPr>
          <w:rFonts w:asciiTheme="majorBidi" w:hAnsiTheme="majorBidi" w:cstheme="majorBidi"/>
          <w:sz w:val="22"/>
          <w:szCs w:val="22"/>
        </w:rPr>
        <w:t>S</w:t>
      </w:r>
      <w:r w:rsidR="001A0F1F" w:rsidRPr="00BB211C">
        <w:rPr>
          <w:rFonts w:asciiTheme="majorBidi" w:hAnsiTheme="majorBidi" w:cstheme="majorBidi"/>
          <w:sz w:val="22"/>
          <w:szCs w:val="22"/>
        </w:rPr>
        <w:t>yariyah Aceh terlihat bahwa k</w:t>
      </w:r>
      <w:r w:rsidR="006D71D5" w:rsidRPr="00BB211C">
        <w:rPr>
          <w:rFonts w:asciiTheme="majorBidi" w:hAnsiTheme="majorBidi" w:cstheme="majorBidi"/>
          <w:sz w:val="22"/>
          <w:szCs w:val="22"/>
        </w:rPr>
        <w:t>ecend</w:t>
      </w:r>
      <w:r w:rsidR="005256DF" w:rsidRPr="00BB211C">
        <w:rPr>
          <w:rFonts w:asciiTheme="majorBidi" w:hAnsiTheme="majorBidi" w:cstheme="majorBidi"/>
          <w:sz w:val="22"/>
          <w:szCs w:val="22"/>
        </w:rPr>
        <w:t>e</w:t>
      </w:r>
      <w:r w:rsidR="006D71D5" w:rsidRPr="00BB211C">
        <w:rPr>
          <w:rFonts w:asciiTheme="majorBidi" w:hAnsiTheme="majorBidi" w:cstheme="majorBidi"/>
          <w:sz w:val="22"/>
          <w:szCs w:val="22"/>
        </w:rPr>
        <w:t xml:space="preserve">rungan hakim di dalam  keputusannya adalah menerapkan hukuman </w:t>
      </w:r>
      <w:r w:rsidR="00652C37" w:rsidRPr="00BB211C">
        <w:rPr>
          <w:rFonts w:asciiTheme="majorBidi" w:hAnsiTheme="majorBidi" w:cstheme="majorBidi"/>
          <w:sz w:val="22"/>
          <w:szCs w:val="22"/>
        </w:rPr>
        <w:t>c</w:t>
      </w:r>
      <w:r w:rsidR="006D71D5" w:rsidRPr="00BB211C">
        <w:rPr>
          <w:rFonts w:asciiTheme="majorBidi" w:hAnsiTheme="majorBidi" w:cstheme="majorBidi"/>
          <w:sz w:val="22"/>
          <w:szCs w:val="22"/>
        </w:rPr>
        <w:t xml:space="preserve">ambuk. </w:t>
      </w:r>
      <w:r w:rsidR="006D71D5" w:rsidRPr="00BB211C">
        <w:rPr>
          <w:rFonts w:asciiTheme="majorBidi" w:hAnsiTheme="majorBidi" w:cstheme="majorBidi"/>
          <w:sz w:val="22"/>
          <w:szCs w:val="22"/>
          <w:lang w:val="en-US"/>
        </w:rPr>
        <w:t>Hal ini dapat d</w:t>
      </w:r>
      <w:r w:rsidR="00CC581D" w:rsidRPr="00BB211C">
        <w:rPr>
          <w:rFonts w:asciiTheme="majorBidi" w:hAnsiTheme="majorBidi" w:cstheme="majorBidi"/>
          <w:sz w:val="22"/>
          <w:szCs w:val="22"/>
          <w:lang w:val="en-US"/>
        </w:rPr>
        <w:t>i</w:t>
      </w:r>
      <w:r w:rsidR="006D71D5" w:rsidRPr="00BB211C">
        <w:rPr>
          <w:rFonts w:asciiTheme="majorBidi" w:hAnsiTheme="majorBidi" w:cstheme="majorBidi"/>
          <w:sz w:val="22"/>
          <w:szCs w:val="22"/>
          <w:lang w:val="en-US"/>
        </w:rPr>
        <w:t xml:space="preserve">lihat </w:t>
      </w:r>
      <w:r w:rsidR="001A0F1F" w:rsidRPr="00BB211C">
        <w:rPr>
          <w:rFonts w:asciiTheme="majorBidi" w:hAnsiTheme="majorBidi" w:cstheme="majorBidi"/>
          <w:sz w:val="22"/>
          <w:szCs w:val="22"/>
          <w:lang w:val="en-US"/>
        </w:rPr>
        <w:t xml:space="preserve">pada </w:t>
      </w:r>
      <w:r w:rsidR="006D71D5" w:rsidRPr="00BB211C">
        <w:rPr>
          <w:rFonts w:asciiTheme="majorBidi" w:hAnsiTheme="majorBidi" w:cstheme="majorBidi"/>
          <w:sz w:val="22"/>
          <w:szCs w:val="22"/>
          <w:lang w:val="en-US"/>
        </w:rPr>
        <w:t>sam</w:t>
      </w:r>
      <w:r w:rsidR="005256DF" w:rsidRPr="00BB211C">
        <w:rPr>
          <w:rFonts w:asciiTheme="majorBidi" w:hAnsiTheme="majorBidi" w:cstheme="majorBidi"/>
          <w:sz w:val="22"/>
          <w:szCs w:val="22"/>
          <w:lang w:val="en-US"/>
        </w:rPr>
        <w:t>pe</w:t>
      </w:r>
      <w:r w:rsidR="00CC581D" w:rsidRPr="00BB211C">
        <w:rPr>
          <w:rFonts w:asciiTheme="majorBidi" w:hAnsiTheme="majorBidi" w:cstheme="majorBidi"/>
          <w:sz w:val="22"/>
          <w:szCs w:val="22"/>
          <w:lang w:val="en-US"/>
        </w:rPr>
        <w:t>l</w:t>
      </w:r>
      <w:r w:rsidR="006D71D5" w:rsidRPr="00BB211C">
        <w:rPr>
          <w:rFonts w:asciiTheme="majorBidi" w:hAnsiTheme="majorBidi" w:cstheme="majorBidi"/>
          <w:sz w:val="22"/>
          <w:szCs w:val="22"/>
          <w:lang w:val="en-US"/>
        </w:rPr>
        <w:t xml:space="preserve"> kasus di dalam tab</w:t>
      </w:r>
      <w:r w:rsidR="00376218" w:rsidRPr="00BB211C">
        <w:rPr>
          <w:rFonts w:asciiTheme="majorBidi" w:hAnsiTheme="majorBidi" w:cstheme="majorBidi"/>
          <w:sz w:val="22"/>
          <w:szCs w:val="22"/>
          <w:lang w:val="en-US"/>
        </w:rPr>
        <w:t>el</w:t>
      </w:r>
      <w:r w:rsidR="006D71D5" w:rsidRPr="00BB211C">
        <w:rPr>
          <w:rFonts w:asciiTheme="majorBidi" w:hAnsiTheme="majorBidi" w:cstheme="majorBidi"/>
          <w:sz w:val="22"/>
          <w:szCs w:val="22"/>
          <w:lang w:val="en-US"/>
        </w:rPr>
        <w:t xml:space="preserve"> berikut</w:t>
      </w:r>
    </w:p>
    <w:p w14:paraId="233D58D5" w14:textId="1392B9C2" w:rsidR="00376218" w:rsidRPr="00BB211C" w:rsidRDefault="00BB211C" w:rsidP="00BB211C">
      <w:pPr>
        <w:spacing w:before="120" w:beforeAutospacing="0" w:after="0" w:afterAutospacing="0" w:line="240" w:lineRule="auto"/>
        <w:ind w:firstLine="720"/>
        <w:jc w:val="both"/>
        <w:rPr>
          <w:rFonts w:asciiTheme="majorBidi" w:hAnsiTheme="majorBidi" w:cstheme="majorBidi"/>
          <w:sz w:val="22"/>
          <w:szCs w:val="22"/>
          <w:lang w:val="en-US"/>
        </w:rPr>
      </w:pPr>
      <w:r w:rsidRPr="00BB211C">
        <w:rPr>
          <w:rFonts w:asciiTheme="majorBidi" w:hAnsiTheme="majorBidi" w:cstheme="majorBidi"/>
          <w:b/>
          <w:bCs/>
          <w:sz w:val="22"/>
          <w:szCs w:val="22"/>
          <w:lang w:val="en-US"/>
        </w:rPr>
        <w:t>Tabel 1.</w:t>
      </w:r>
      <w:r>
        <w:rPr>
          <w:rFonts w:asciiTheme="majorBidi" w:hAnsiTheme="majorBidi" w:cstheme="majorBidi"/>
          <w:sz w:val="22"/>
          <w:szCs w:val="22"/>
          <w:lang w:val="en-US"/>
        </w:rPr>
        <w:t xml:space="preserve"> Sampel Delik dan Hukuman bagi Non-Muslim di Aceh</w:t>
      </w:r>
    </w:p>
    <w:tbl>
      <w:tblPr>
        <w:tblStyle w:val="TableGrid"/>
        <w:tblW w:w="8818" w:type="dxa"/>
        <w:tblInd w:w="108" w:type="dxa"/>
        <w:tblLook w:val="04A0" w:firstRow="1" w:lastRow="0" w:firstColumn="1" w:lastColumn="0" w:noHBand="0" w:noVBand="1"/>
      </w:tblPr>
      <w:tblGrid>
        <w:gridCol w:w="510"/>
        <w:gridCol w:w="1620"/>
        <w:gridCol w:w="2120"/>
        <w:gridCol w:w="989"/>
        <w:gridCol w:w="923"/>
        <w:gridCol w:w="2656"/>
      </w:tblGrid>
      <w:tr w:rsidR="00652C37" w:rsidRPr="00BB211C" w14:paraId="4E52759A" w14:textId="77777777" w:rsidTr="00652C37">
        <w:tc>
          <w:tcPr>
            <w:tcW w:w="510" w:type="dxa"/>
          </w:tcPr>
          <w:p w14:paraId="4F6F1F21"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No</w:t>
            </w:r>
          </w:p>
        </w:tc>
        <w:tc>
          <w:tcPr>
            <w:tcW w:w="1620" w:type="dxa"/>
          </w:tcPr>
          <w:p w14:paraId="750A253A" w14:textId="0F6B0A4B"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Mahkamah Syar’yah</w:t>
            </w:r>
          </w:p>
        </w:tc>
        <w:tc>
          <w:tcPr>
            <w:tcW w:w="2120" w:type="dxa"/>
          </w:tcPr>
          <w:p w14:paraId="6895FE82" w14:textId="7A4D0381"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Nomor</w:t>
            </w:r>
          </w:p>
        </w:tc>
        <w:tc>
          <w:tcPr>
            <w:tcW w:w="989" w:type="dxa"/>
          </w:tcPr>
          <w:p w14:paraId="281662B6"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Jarimah</w:t>
            </w:r>
          </w:p>
        </w:tc>
        <w:tc>
          <w:tcPr>
            <w:tcW w:w="923" w:type="dxa"/>
          </w:tcPr>
          <w:p w14:paraId="7DD5B23C"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Agama</w:t>
            </w:r>
          </w:p>
        </w:tc>
        <w:tc>
          <w:tcPr>
            <w:tcW w:w="2656" w:type="dxa"/>
          </w:tcPr>
          <w:p w14:paraId="1563D494" w14:textId="23BFE0AA" w:rsidR="00652C37" w:rsidRPr="00BB211C" w:rsidRDefault="00652C37" w:rsidP="00652C37">
            <w:pPr>
              <w:spacing w:before="0" w:beforeAutospacing="0" w:after="0" w:afterAutospacing="0" w:line="240" w:lineRule="auto"/>
              <w:jc w:val="center"/>
              <w:rPr>
                <w:rFonts w:asciiTheme="majorBidi" w:hAnsiTheme="majorBidi" w:cstheme="majorBidi"/>
                <w:sz w:val="22"/>
                <w:szCs w:val="22"/>
                <w:lang w:val="en-US"/>
              </w:rPr>
            </w:pPr>
            <w:r w:rsidRPr="00BB211C">
              <w:rPr>
                <w:rFonts w:asciiTheme="majorBidi" w:hAnsiTheme="majorBidi" w:cstheme="majorBidi"/>
                <w:sz w:val="22"/>
                <w:szCs w:val="22"/>
                <w:lang w:val="en-US"/>
              </w:rPr>
              <w:t>Hukuman</w:t>
            </w:r>
          </w:p>
        </w:tc>
      </w:tr>
      <w:tr w:rsidR="00652C37" w:rsidRPr="00BB211C" w14:paraId="14CB8CFC" w14:textId="77777777" w:rsidTr="00652C37">
        <w:tc>
          <w:tcPr>
            <w:tcW w:w="510" w:type="dxa"/>
          </w:tcPr>
          <w:p w14:paraId="4C766DA9" w14:textId="0481D35A"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1.</w:t>
            </w:r>
          </w:p>
        </w:tc>
        <w:tc>
          <w:tcPr>
            <w:tcW w:w="1620" w:type="dxa"/>
          </w:tcPr>
          <w:p w14:paraId="7659C8A1"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Takengon</w:t>
            </w:r>
          </w:p>
        </w:tc>
        <w:tc>
          <w:tcPr>
            <w:tcW w:w="2120" w:type="dxa"/>
          </w:tcPr>
          <w:p w14:paraId="22E9BC7B" w14:textId="778C6F5C"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pacing w:val="2"/>
                <w:sz w:val="22"/>
                <w:szCs w:val="22"/>
              </w:rPr>
              <w:t>1</w:t>
            </w:r>
            <w:r w:rsidRPr="00BB211C">
              <w:rPr>
                <w:rFonts w:asciiTheme="majorBidi" w:hAnsiTheme="majorBidi" w:cstheme="majorBidi"/>
                <w:spacing w:val="-1"/>
                <w:sz w:val="22"/>
                <w:szCs w:val="22"/>
              </w:rPr>
              <w:t>/</w:t>
            </w:r>
            <w:r w:rsidRPr="00BB211C">
              <w:rPr>
                <w:rFonts w:asciiTheme="majorBidi" w:hAnsiTheme="majorBidi" w:cstheme="majorBidi"/>
                <w:spacing w:val="2"/>
                <w:sz w:val="22"/>
                <w:szCs w:val="22"/>
              </w:rPr>
              <w:t>JN</w:t>
            </w:r>
            <w:r w:rsidRPr="00BB211C">
              <w:rPr>
                <w:rFonts w:asciiTheme="majorBidi" w:hAnsiTheme="majorBidi" w:cstheme="majorBidi"/>
                <w:spacing w:val="-1"/>
                <w:sz w:val="22"/>
                <w:szCs w:val="22"/>
              </w:rPr>
              <w:t>/</w:t>
            </w:r>
            <w:r w:rsidRPr="00BB211C">
              <w:rPr>
                <w:rFonts w:asciiTheme="majorBidi" w:hAnsiTheme="majorBidi" w:cstheme="majorBidi"/>
                <w:spacing w:val="2"/>
                <w:sz w:val="22"/>
                <w:szCs w:val="22"/>
              </w:rPr>
              <w:t>2016</w:t>
            </w:r>
            <w:r w:rsidRPr="00BB211C">
              <w:rPr>
                <w:rFonts w:asciiTheme="majorBidi" w:hAnsiTheme="majorBidi" w:cstheme="majorBidi"/>
                <w:spacing w:val="-1"/>
                <w:sz w:val="22"/>
                <w:szCs w:val="22"/>
              </w:rPr>
              <w:t>/</w:t>
            </w:r>
            <w:r w:rsidRPr="00BB211C">
              <w:rPr>
                <w:rFonts w:asciiTheme="majorBidi" w:hAnsiTheme="majorBidi" w:cstheme="majorBidi"/>
                <w:spacing w:val="3"/>
                <w:sz w:val="22"/>
                <w:szCs w:val="22"/>
              </w:rPr>
              <w:t>M</w:t>
            </w:r>
            <w:r w:rsidRPr="00BB211C">
              <w:rPr>
                <w:rFonts w:asciiTheme="majorBidi" w:hAnsiTheme="majorBidi" w:cstheme="majorBidi"/>
                <w:spacing w:val="-1"/>
                <w:sz w:val="22"/>
                <w:szCs w:val="22"/>
              </w:rPr>
              <w:t>s</w:t>
            </w:r>
            <w:r w:rsidRPr="00BB211C">
              <w:rPr>
                <w:rFonts w:asciiTheme="majorBidi" w:hAnsiTheme="majorBidi" w:cstheme="majorBidi"/>
                <w:spacing w:val="2"/>
                <w:sz w:val="22"/>
                <w:szCs w:val="22"/>
              </w:rPr>
              <w:t>.</w:t>
            </w:r>
            <w:r w:rsidRPr="00BB211C">
              <w:rPr>
                <w:rFonts w:asciiTheme="majorBidi" w:hAnsiTheme="majorBidi" w:cstheme="majorBidi"/>
                <w:sz w:val="22"/>
                <w:szCs w:val="22"/>
              </w:rPr>
              <w:t>T</w:t>
            </w:r>
            <w:r w:rsidRPr="00BB211C">
              <w:rPr>
                <w:rFonts w:asciiTheme="majorBidi" w:hAnsiTheme="majorBidi" w:cstheme="majorBidi"/>
                <w:spacing w:val="2"/>
                <w:sz w:val="22"/>
                <w:szCs w:val="22"/>
              </w:rPr>
              <w:t>kn</w:t>
            </w:r>
          </w:p>
        </w:tc>
        <w:tc>
          <w:tcPr>
            <w:tcW w:w="989" w:type="dxa"/>
          </w:tcPr>
          <w:p w14:paraId="653CBAA2"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Khamar</w:t>
            </w:r>
          </w:p>
        </w:tc>
        <w:tc>
          <w:tcPr>
            <w:tcW w:w="923" w:type="dxa"/>
          </w:tcPr>
          <w:p w14:paraId="65D0C113"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Kristen</w:t>
            </w:r>
          </w:p>
        </w:tc>
        <w:tc>
          <w:tcPr>
            <w:tcW w:w="2656" w:type="dxa"/>
          </w:tcPr>
          <w:p w14:paraId="6BFA27FC" w14:textId="77777777" w:rsidR="00652C37" w:rsidRPr="00BB211C" w:rsidRDefault="00652C37" w:rsidP="00652C37">
            <w:pPr>
              <w:spacing w:before="0" w:beforeAutospacing="0" w:after="0" w:afterAutospacing="0" w:line="240" w:lineRule="auto"/>
              <w:jc w:val="center"/>
              <w:rPr>
                <w:rFonts w:asciiTheme="majorBidi" w:hAnsiTheme="majorBidi" w:cstheme="majorBidi"/>
                <w:sz w:val="22"/>
                <w:szCs w:val="22"/>
              </w:rPr>
            </w:pPr>
            <w:r w:rsidRPr="00BB211C">
              <w:rPr>
                <w:rFonts w:asciiTheme="majorBidi" w:hAnsiTheme="majorBidi" w:cstheme="majorBidi"/>
                <w:spacing w:val="-1"/>
                <w:sz w:val="22"/>
                <w:szCs w:val="22"/>
              </w:rPr>
              <w:t>C</w:t>
            </w:r>
            <w:r w:rsidRPr="00BB211C">
              <w:rPr>
                <w:rFonts w:asciiTheme="majorBidi" w:hAnsiTheme="majorBidi" w:cstheme="majorBidi"/>
                <w:sz w:val="22"/>
                <w:szCs w:val="22"/>
              </w:rPr>
              <w:t>a</w:t>
            </w:r>
            <w:r w:rsidRPr="00BB211C">
              <w:rPr>
                <w:rFonts w:asciiTheme="majorBidi" w:hAnsiTheme="majorBidi" w:cstheme="majorBidi"/>
                <w:spacing w:val="1"/>
                <w:sz w:val="22"/>
                <w:szCs w:val="22"/>
              </w:rPr>
              <w:t>mbu</w:t>
            </w:r>
            <w:r w:rsidRPr="00BB211C">
              <w:rPr>
                <w:rFonts w:asciiTheme="majorBidi" w:hAnsiTheme="majorBidi" w:cstheme="majorBidi"/>
                <w:sz w:val="22"/>
                <w:szCs w:val="22"/>
              </w:rPr>
              <w:t>k</w:t>
            </w:r>
            <w:r w:rsidRPr="00BB211C">
              <w:rPr>
                <w:rFonts w:asciiTheme="majorBidi" w:hAnsiTheme="majorBidi" w:cstheme="majorBidi"/>
                <w:spacing w:val="-5"/>
                <w:sz w:val="22"/>
                <w:szCs w:val="22"/>
              </w:rPr>
              <w:t xml:space="preserve"> </w:t>
            </w:r>
            <w:r w:rsidRPr="00BB211C">
              <w:rPr>
                <w:rFonts w:asciiTheme="majorBidi" w:hAnsiTheme="majorBidi" w:cstheme="majorBidi"/>
                <w:spacing w:val="1"/>
                <w:w w:val="99"/>
                <w:sz w:val="22"/>
                <w:szCs w:val="22"/>
              </w:rPr>
              <w:t>28 k</w:t>
            </w:r>
            <w:r w:rsidRPr="00BB211C">
              <w:rPr>
                <w:rFonts w:asciiTheme="majorBidi" w:hAnsiTheme="majorBidi" w:cstheme="majorBidi"/>
                <w:w w:val="99"/>
                <w:sz w:val="22"/>
                <w:szCs w:val="22"/>
              </w:rPr>
              <w:t>ali</w:t>
            </w:r>
          </w:p>
        </w:tc>
      </w:tr>
      <w:tr w:rsidR="00652C37" w:rsidRPr="00BB211C" w14:paraId="043B0B78" w14:textId="77777777" w:rsidTr="00652C37">
        <w:tc>
          <w:tcPr>
            <w:tcW w:w="510" w:type="dxa"/>
          </w:tcPr>
          <w:p w14:paraId="5FEC4921" w14:textId="0395D4DA"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2.</w:t>
            </w:r>
          </w:p>
        </w:tc>
        <w:tc>
          <w:tcPr>
            <w:tcW w:w="1620" w:type="dxa"/>
          </w:tcPr>
          <w:p w14:paraId="06BE6FED"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Kutacane</w:t>
            </w:r>
          </w:p>
        </w:tc>
        <w:tc>
          <w:tcPr>
            <w:tcW w:w="2120" w:type="dxa"/>
          </w:tcPr>
          <w:p w14:paraId="566AB6C4" w14:textId="6199143B"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pacing w:val="2"/>
                <w:sz w:val="22"/>
                <w:szCs w:val="22"/>
              </w:rPr>
              <w:t>33/JN/2</w:t>
            </w:r>
            <w:r w:rsidRPr="00BB211C">
              <w:rPr>
                <w:rFonts w:asciiTheme="majorBidi" w:hAnsiTheme="majorBidi" w:cstheme="majorBidi"/>
                <w:spacing w:val="4"/>
                <w:sz w:val="22"/>
                <w:szCs w:val="22"/>
              </w:rPr>
              <w:t>0</w:t>
            </w:r>
            <w:r w:rsidRPr="00BB211C">
              <w:rPr>
                <w:rFonts w:asciiTheme="majorBidi" w:hAnsiTheme="majorBidi" w:cstheme="majorBidi"/>
                <w:spacing w:val="2"/>
                <w:sz w:val="22"/>
                <w:szCs w:val="22"/>
              </w:rPr>
              <w:t>1</w:t>
            </w:r>
            <w:r w:rsidRPr="00BB211C">
              <w:rPr>
                <w:rFonts w:asciiTheme="majorBidi" w:hAnsiTheme="majorBidi" w:cstheme="majorBidi"/>
                <w:spacing w:val="4"/>
                <w:sz w:val="22"/>
                <w:szCs w:val="22"/>
              </w:rPr>
              <w:t>6</w:t>
            </w:r>
            <w:r w:rsidRPr="00BB211C">
              <w:rPr>
                <w:rFonts w:asciiTheme="majorBidi" w:hAnsiTheme="majorBidi" w:cstheme="majorBidi"/>
                <w:spacing w:val="2"/>
                <w:sz w:val="22"/>
                <w:szCs w:val="22"/>
              </w:rPr>
              <w:t>/</w:t>
            </w:r>
            <w:r w:rsidRPr="00BB211C">
              <w:rPr>
                <w:rFonts w:asciiTheme="majorBidi" w:hAnsiTheme="majorBidi" w:cstheme="majorBidi"/>
                <w:spacing w:val="3"/>
                <w:sz w:val="22"/>
                <w:szCs w:val="22"/>
              </w:rPr>
              <w:t>M</w:t>
            </w:r>
            <w:r w:rsidRPr="00BB211C">
              <w:rPr>
                <w:rFonts w:asciiTheme="majorBidi" w:hAnsiTheme="majorBidi" w:cstheme="majorBidi"/>
                <w:spacing w:val="2"/>
                <w:sz w:val="22"/>
                <w:szCs w:val="22"/>
              </w:rPr>
              <w:t>s.K</w:t>
            </w:r>
            <w:r w:rsidRPr="00BB211C">
              <w:rPr>
                <w:rFonts w:asciiTheme="majorBidi" w:hAnsiTheme="majorBidi" w:cstheme="majorBidi"/>
                <w:sz w:val="22"/>
                <w:szCs w:val="22"/>
              </w:rPr>
              <w:t>c</w:t>
            </w:r>
          </w:p>
        </w:tc>
        <w:tc>
          <w:tcPr>
            <w:tcW w:w="989" w:type="dxa"/>
          </w:tcPr>
          <w:p w14:paraId="59402FF3"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Maisir</w:t>
            </w:r>
          </w:p>
        </w:tc>
        <w:tc>
          <w:tcPr>
            <w:tcW w:w="923" w:type="dxa"/>
          </w:tcPr>
          <w:p w14:paraId="0E7C73E4"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Kristen</w:t>
            </w:r>
          </w:p>
        </w:tc>
        <w:tc>
          <w:tcPr>
            <w:tcW w:w="2656" w:type="dxa"/>
          </w:tcPr>
          <w:p w14:paraId="6ADCAD0C" w14:textId="77777777" w:rsidR="00652C37" w:rsidRPr="00BB211C" w:rsidRDefault="00652C37" w:rsidP="00652C37">
            <w:pPr>
              <w:spacing w:before="0" w:beforeAutospacing="0" w:after="0" w:afterAutospacing="0" w:line="240" w:lineRule="auto"/>
              <w:jc w:val="center"/>
              <w:rPr>
                <w:rFonts w:asciiTheme="majorBidi" w:hAnsiTheme="majorBidi" w:cstheme="majorBidi"/>
                <w:sz w:val="22"/>
                <w:szCs w:val="22"/>
              </w:rPr>
            </w:pPr>
            <w:r w:rsidRPr="00BB211C">
              <w:rPr>
                <w:rFonts w:asciiTheme="majorBidi" w:hAnsiTheme="majorBidi" w:cstheme="majorBidi"/>
                <w:spacing w:val="-1"/>
                <w:sz w:val="22"/>
                <w:szCs w:val="22"/>
              </w:rPr>
              <w:t>C</w:t>
            </w:r>
            <w:r w:rsidRPr="00BB211C">
              <w:rPr>
                <w:rFonts w:asciiTheme="majorBidi" w:hAnsiTheme="majorBidi" w:cstheme="majorBidi"/>
                <w:sz w:val="22"/>
                <w:szCs w:val="22"/>
              </w:rPr>
              <w:t>a</w:t>
            </w:r>
            <w:r w:rsidRPr="00BB211C">
              <w:rPr>
                <w:rFonts w:asciiTheme="majorBidi" w:hAnsiTheme="majorBidi" w:cstheme="majorBidi"/>
                <w:spacing w:val="1"/>
                <w:sz w:val="22"/>
                <w:szCs w:val="22"/>
              </w:rPr>
              <w:t>mbu</w:t>
            </w:r>
            <w:r w:rsidRPr="00BB211C">
              <w:rPr>
                <w:rFonts w:asciiTheme="majorBidi" w:hAnsiTheme="majorBidi" w:cstheme="majorBidi"/>
                <w:sz w:val="22"/>
                <w:szCs w:val="22"/>
              </w:rPr>
              <w:t>k</w:t>
            </w:r>
            <w:r w:rsidRPr="00BB211C">
              <w:rPr>
                <w:rFonts w:asciiTheme="majorBidi" w:hAnsiTheme="majorBidi" w:cstheme="majorBidi"/>
                <w:spacing w:val="-5"/>
                <w:sz w:val="22"/>
                <w:szCs w:val="22"/>
              </w:rPr>
              <w:t xml:space="preserve"> </w:t>
            </w:r>
            <w:r w:rsidRPr="00BB211C">
              <w:rPr>
                <w:rFonts w:asciiTheme="majorBidi" w:hAnsiTheme="majorBidi" w:cstheme="majorBidi"/>
                <w:w w:val="99"/>
                <w:sz w:val="22"/>
                <w:szCs w:val="22"/>
              </w:rPr>
              <w:t xml:space="preserve">8 </w:t>
            </w:r>
            <w:r w:rsidRPr="00BB211C">
              <w:rPr>
                <w:rFonts w:asciiTheme="majorBidi" w:hAnsiTheme="majorBidi" w:cstheme="majorBidi"/>
                <w:spacing w:val="1"/>
                <w:w w:val="99"/>
                <w:sz w:val="22"/>
                <w:szCs w:val="22"/>
              </w:rPr>
              <w:t>k</w:t>
            </w:r>
            <w:r w:rsidRPr="00BB211C">
              <w:rPr>
                <w:rFonts w:asciiTheme="majorBidi" w:hAnsiTheme="majorBidi" w:cstheme="majorBidi"/>
                <w:w w:val="99"/>
                <w:sz w:val="22"/>
                <w:szCs w:val="22"/>
              </w:rPr>
              <w:t>ali</w:t>
            </w:r>
          </w:p>
        </w:tc>
      </w:tr>
      <w:tr w:rsidR="00652C37" w:rsidRPr="00BB211C" w14:paraId="169DF4DC" w14:textId="77777777" w:rsidTr="00652C37">
        <w:tc>
          <w:tcPr>
            <w:tcW w:w="510" w:type="dxa"/>
          </w:tcPr>
          <w:p w14:paraId="6833B170" w14:textId="261368AB"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3.</w:t>
            </w:r>
          </w:p>
        </w:tc>
        <w:tc>
          <w:tcPr>
            <w:tcW w:w="1620" w:type="dxa"/>
          </w:tcPr>
          <w:p w14:paraId="222B1465" w14:textId="1213FC39"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Jantho</w:t>
            </w:r>
          </w:p>
        </w:tc>
        <w:tc>
          <w:tcPr>
            <w:tcW w:w="2120" w:type="dxa"/>
          </w:tcPr>
          <w:p w14:paraId="2BC27E7F" w14:textId="48AA065B"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pacing w:val="2"/>
                <w:sz w:val="22"/>
                <w:szCs w:val="22"/>
              </w:rPr>
              <w:t>1/JN/20</w:t>
            </w:r>
            <w:r w:rsidRPr="00BB211C">
              <w:rPr>
                <w:rFonts w:asciiTheme="majorBidi" w:hAnsiTheme="majorBidi" w:cstheme="majorBidi"/>
                <w:spacing w:val="4"/>
                <w:sz w:val="22"/>
                <w:szCs w:val="22"/>
              </w:rPr>
              <w:t>1</w:t>
            </w:r>
            <w:r w:rsidRPr="00BB211C">
              <w:rPr>
                <w:rFonts w:asciiTheme="majorBidi" w:hAnsiTheme="majorBidi" w:cstheme="majorBidi"/>
                <w:spacing w:val="2"/>
                <w:sz w:val="22"/>
                <w:szCs w:val="22"/>
              </w:rPr>
              <w:t>7/</w:t>
            </w:r>
            <w:r w:rsidRPr="00BB211C">
              <w:rPr>
                <w:rFonts w:asciiTheme="majorBidi" w:hAnsiTheme="majorBidi" w:cstheme="majorBidi"/>
                <w:spacing w:val="3"/>
                <w:sz w:val="22"/>
                <w:szCs w:val="22"/>
              </w:rPr>
              <w:t>M</w:t>
            </w:r>
            <w:r w:rsidRPr="00BB211C">
              <w:rPr>
                <w:rFonts w:asciiTheme="majorBidi" w:hAnsiTheme="majorBidi" w:cstheme="majorBidi"/>
                <w:spacing w:val="2"/>
                <w:sz w:val="22"/>
                <w:szCs w:val="22"/>
              </w:rPr>
              <w:t>s.Jth</w:t>
            </w:r>
          </w:p>
        </w:tc>
        <w:tc>
          <w:tcPr>
            <w:tcW w:w="989" w:type="dxa"/>
          </w:tcPr>
          <w:p w14:paraId="246DCB14"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Maisir</w:t>
            </w:r>
          </w:p>
        </w:tc>
        <w:tc>
          <w:tcPr>
            <w:tcW w:w="923" w:type="dxa"/>
          </w:tcPr>
          <w:p w14:paraId="23148500"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Budha</w:t>
            </w:r>
          </w:p>
        </w:tc>
        <w:tc>
          <w:tcPr>
            <w:tcW w:w="2656" w:type="dxa"/>
          </w:tcPr>
          <w:p w14:paraId="75A6686B" w14:textId="77777777" w:rsidR="00652C37" w:rsidRPr="00BB211C" w:rsidRDefault="00652C37" w:rsidP="00652C37">
            <w:pPr>
              <w:spacing w:before="0" w:beforeAutospacing="0" w:after="0" w:afterAutospacing="0" w:line="240" w:lineRule="auto"/>
              <w:jc w:val="center"/>
              <w:rPr>
                <w:rFonts w:asciiTheme="majorBidi" w:hAnsiTheme="majorBidi" w:cstheme="majorBidi"/>
                <w:sz w:val="22"/>
                <w:szCs w:val="22"/>
              </w:rPr>
            </w:pPr>
            <w:r w:rsidRPr="00BB211C">
              <w:rPr>
                <w:rFonts w:asciiTheme="majorBidi" w:hAnsiTheme="majorBidi" w:cstheme="majorBidi"/>
                <w:spacing w:val="-1"/>
                <w:sz w:val="22"/>
                <w:szCs w:val="22"/>
              </w:rPr>
              <w:t>C</w:t>
            </w:r>
            <w:r w:rsidRPr="00BB211C">
              <w:rPr>
                <w:rFonts w:asciiTheme="majorBidi" w:hAnsiTheme="majorBidi" w:cstheme="majorBidi"/>
                <w:sz w:val="22"/>
                <w:szCs w:val="22"/>
              </w:rPr>
              <w:t>a</w:t>
            </w:r>
            <w:r w:rsidRPr="00BB211C">
              <w:rPr>
                <w:rFonts w:asciiTheme="majorBidi" w:hAnsiTheme="majorBidi" w:cstheme="majorBidi"/>
                <w:spacing w:val="1"/>
                <w:sz w:val="22"/>
                <w:szCs w:val="22"/>
              </w:rPr>
              <w:t>mbu</w:t>
            </w:r>
            <w:r w:rsidRPr="00BB211C">
              <w:rPr>
                <w:rFonts w:asciiTheme="majorBidi" w:hAnsiTheme="majorBidi" w:cstheme="majorBidi"/>
                <w:sz w:val="22"/>
                <w:szCs w:val="22"/>
              </w:rPr>
              <w:t>k</w:t>
            </w:r>
            <w:r w:rsidRPr="00BB211C">
              <w:rPr>
                <w:rFonts w:asciiTheme="majorBidi" w:hAnsiTheme="majorBidi" w:cstheme="majorBidi"/>
                <w:spacing w:val="-5"/>
                <w:sz w:val="22"/>
                <w:szCs w:val="22"/>
              </w:rPr>
              <w:t xml:space="preserve"> </w:t>
            </w:r>
            <w:r w:rsidRPr="00BB211C">
              <w:rPr>
                <w:rFonts w:asciiTheme="majorBidi" w:hAnsiTheme="majorBidi" w:cstheme="majorBidi"/>
                <w:w w:val="99"/>
                <w:sz w:val="22"/>
                <w:szCs w:val="22"/>
              </w:rPr>
              <w:t xml:space="preserve">9 </w:t>
            </w:r>
            <w:r w:rsidRPr="00BB211C">
              <w:rPr>
                <w:rFonts w:asciiTheme="majorBidi" w:hAnsiTheme="majorBidi" w:cstheme="majorBidi"/>
                <w:spacing w:val="1"/>
                <w:w w:val="99"/>
                <w:sz w:val="22"/>
                <w:szCs w:val="22"/>
              </w:rPr>
              <w:t>k</w:t>
            </w:r>
            <w:r w:rsidRPr="00BB211C">
              <w:rPr>
                <w:rFonts w:asciiTheme="majorBidi" w:hAnsiTheme="majorBidi" w:cstheme="majorBidi"/>
                <w:w w:val="99"/>
                <w:sz w:val="22"/>
                <w:szCs w:val="22"/>
              </w:rPr>
              <w:t>ali</w:t>
            </w:r>
          </w:p>
        </w:tc>
      </w:tr>
      <w:tr w:rsidR="00652C37" w:rsidRPr="00BB211C" w14:paraId="5AB0DE7F" w14:textId="77777777" w:rsidTr="00652C37">
        <w:tc>
          <w:tcPr>
            <w:tcW w:w="510" w:type="dxa"/>
          </w:tcPr>
          <w:p w14:paraId="44C76B7F" w14:textId="51A327CF"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4.</w:t>
            </w:r>
          </w:p>
        </w:tc>
        <w:tc>
          <w:tcPr>
            <w:tcW w:w="1620" w:type="dxa"/>
          </w:tcPr>
          <w:p w14:paraId="3173BD3B"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Sabang</w:t>
            </w:r>
          </w:p>
        </w:tc>
        <w:tc>
          <w:tcPr>
            <w:tcW w:w="2120" w:type="dxa"/>
          </w:tcPr>
          <w:p w14:paraId="217B6673" w14:textId="3DC2B29E"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pacing w:val="2"/>
                <w:w w:val="96"/>
                <w:sz w:val="22"/>
                <w:szCs w:val="22"/>
              </w:rPr>
              <w:t>12</w:t>
            </w:r>
            <w:r w:rsidRPr="00BB211C">
              <w:rPr>
                <w:rFonts w:asciiTheme="majorBidi" w:hAnsiTheme="majorBidi" w:cstheme="majorBidi"/>
                <w:spacing w:val="-1"/>
                <w:w w:val="96"/>
                <w:sz w:val="22"/>
                <w:szCs w:val="22"/>
              </w:rPr>
              <w:t>/J</w:t>
            </w:r>
            <w:r w:rsidRPr="00BB211C">
              <w:rPr>
                <w:rFonts w:asciiTheme="majorBidi" w:hAnsiTheme="majorBidi" w:cstheme="majorBidi"/>
                <w:w w:val="96"/>
                <w:sz w:val="22"/>
                <w:szCs w:val="22"/>
              </w:rPr>
              <w:t>N</w:t>
            </w:r>
            <w:r w:rsidRPr="00BB211C">
              <w:rPr>
                <w:rFonts w:asciiTheme="majorBidi" w:hAnsiTheme="majorBidi" w:cstheme="majorBidi"/>
                <w:spacing w:val="-1"/>
                <w:w w:val="96"/>
                <w:sz w:val="22"/>
                <w:szCs w:val="22"/>
              </w:rPr>
              <w:t>/</w:t>
            </w:r>
            <w:r w:rsidRPr="00BB211C">
              <w:rPr>
                <w:rFonts w:asciiTheme="majorBidi" w:hAnsiTheme="majorBidi" w:cstheme="majorBidi"/>
                <w:spacing w:val="2"/>
                <w:w w:val="96"/>
                <w:sz w:val="22"/>
                <w:szCs w:val="22"/>
              </w:rPr>
              <w:t>20</w:t>
            </w:r>
            <w:r w:rsidRPr="00BB211C">
              <w:rPr>
                <w:rFonts w:asciiTheme="majorBidi" w:hAnsiTheme="majorBidi" w:cstheme="majorBidi"/>
                <w:spacing w:val="-1"/>
                <w:w w:val="96"/>
                <w:sz w:val="22"/>
                <w:szCs w:val="22"/>
              </w:rPr>
              <w:t>1</w:t>
            </w:r>
            <w:r w:rsidRPr="00BB211C">
              <w:rPr>
                <w:rFonts w:asciiTheme="majorBidi" w:hAnsiTheme="majorBidi" w:cstheme="majorBidi"/>
                <w:spacing w:val="2"/>
                <w:w w:val="96"/>
                <w:sz w:val="22"/>
                <w:szCs w:val="22"/>
              </w:rPr>
              <w:t>7</w:t>
            </w:r>
            <w:r w:rsidRPr="00BB211C">
              <w:rPr>
                <w:rFonts w:asciiTheme="majorBidi" w:hAnsiTheme="majorBidi" w:cstheme="majorBidi"/>
                <w:spacing w:val="-1"/>
                <w:w w:val="96"/>
                <w:sz w:val="22"/>
                <w:szCs w:val="22"/>
              </w:rPr>
              <w:t>/</w:t>
            </w:r>
            <w:r w:rsidRPr="00BB211C">
              <w:rPr>
                <w:rFonts w:asciiTheme="majorBidi" w:hAnsiTheme="majorBidi" w:cstheme="majorBidi"/>
                <w:spacing w:val="1"/>
                <w:w w:val="96"/>
                <w:sz w:val="22"/>
                <w:szCs w:val="22"/>
              </w:rPr>
              <w:t>M</w:t>
            </w:r>
            <w:r w:rsidRPr="00BB211C">
              <w:rPr>
                <w:rFonts w:asciiTheme="majorBidi" w:hAnsiTheme="majorBidi" w:cstheme="majorBidi"/>
                <w:spacing w:val="-1"/>
                <w:w w:val="96"/>
                <w:sz w:val="22"/>
                <w:szCs w:val="22"/>
              </w:rPr>
              <w:t>s</w:t>
            </w:r>
            <w:r w:rsidRPr="00BB211C">
              <w:rPr>
                <w:rFonts w:asciiTheme="majorBidi" w:hAnsiTheme="majorBidi" w:cstheme="majorBidi"/>
                <w:w w:val="96"/>
                <w:sz w:val="22"/>
                <w:szCs w:val="22"/>
              </w:rPr>
              <w:t>.</w:t>
            </w:r>
            <w:r w:rsidRPr="00BB211C">
              <w:rPr>
                <w:rFonts w:asciiTheme="majorBidi" w:hAnsiTheme="majorBidi" w:cstheme="majorBidi"/>
                <w:spacing w:val="1"/>
                <w:w w:val="96"/>
                <w:sz w:val="22"/>
                <w:szCs w:val="22"/>
              </w:rPr>
              <w:t>Sa</w:t>
            </w:r>
            <w:r w:rsidRPr="00BB211C">
              <w:rPr>
                <w:rFonts w:asciiTheme="majorBidi" w:hAnsiTheme="majorBidi" w:cstheme="majorBidi"/>
                <w:w w:val="96"/>
                <w:sz w:val="22"/>
                <w:szCs w:val="22"/>
              </w:rPr>
              <w:t>b</w:t>
            </w:r>
          </w:p>
        </w:tc>
        <w:tc>
          <w:tcPr>
            <w:tcW w:w="989" w:type="dxa"/>
          </w:tcPr>
          <w:p w14:paraId="71F4F4A1"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khalwat</w:t>
            </w:r>
          </w:p>
        </w:tc>
        <w:tc>
          <w:tcPr>
            <w:tcW w:w="923" w:type="dxa"/>
          </w:tcPr>
          <w:p w14:paraId="5D59A658" w14:textId="04812DBE"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Kristen</w:t>
            </w:r>
          </w:p>
        </w:tc>
        <w:tc>
          <w:tcPr>
            <w:tcW w:w="2656" w:type="dxa"/>
          </w:tcPr>
          <w:p w14:paraId="594D4CB8" w14:textId="36A186C1" w:rsidR="00652C37" w:rsidRPr="00BB211C" w:rsidRDefault="00652C37" w:rsidP="00652C37">
            <w:pPr>
              <w:spacing w:before="0" w:beforeAutospacing="0" w:after="0" w:afterAutospacing="0" w:line="240" w:lineRule="auto"/>
              <w:ind w:left="16" w:right="39"/>
              <w:jc w:val="center"/>
              <w:rPr>
                <w:rFonts w:asciiTheme="majorBidi" w:hAnsiTheme="majorBidi" w:cstheme="majorBidi"/>
                <w:sz w:val="22"/>
                <w:szCs w:val="22"/>
                <w:lang w:val="en-US"/>
              </w:rPr>
            </w:pPr>
            <w:r w:rsidRPr="00BB211C">
              <w:rPr>
                <w:rFonts w:asciiTheme="majorBidi" w:hAnsiTheme="majorBidi" w:cstheme="majorBidi"/>
                <w:spacing w:val="2"/>
                <w:sz w:val="22"/>
                <w:szCs w:val="22"/>
              </w:rPr>
              <w:t>D</w:t>
            </w:r>
            <w:r w:rsidRPr="00BB211C">
              <w:rPr>
                <w:rFonts w:asciiTheme="majorBidi" w:hAnsiTheme="majorBidi" w:cstheme="majorBidi"/>
                <w:spacing w:val="1"/>
                <w:sz w:val="22"/>
                <w:szCs w:val="22"/>
              </w:rPr>
              <w:t>e</w:t>
            </w:r>
            <w:r w:rsidRPr="00BB211C">
              <w:rPr>
                <w:rFonts w:asciiTheme="majorBidi" w:hAnsiTheme="majorBidi" w:cstheme="majorBidi"/>
                <w:spacing w:val="4"/>
                <w:sz w:val="22"/>
                <w:szCs w:val="22"/>
              </w:rPr>
              <w:t>n</w:t>
            </w:r>
            <w:r w:rsidRPr="00BB211C">
              <w:rPr>
                <w:rFonts w:asciiTheme="majorBidi" w:hAnsiTheme="majorBidi" w:cstheme="majorBidi"/>
                <w:spacing w:val="2"/>
                <w:sz w:val="22"/>
                <w:szCs w:val="22"/>
              </w:rPr>
              <w:t>d</w:t>
            </w:r>
            <w:r w:rsidRPr="00BB211C">
              <w:rPr>
                <w:rFonts w:asciiTheme="majorBidi" w:hAnsiTheme="majorBidi" w:cstheme="majorBidi"/>
                <w:sz w:val="22"/>
                <w:szCs w:val="22"/>
              </w:rPr>
              <w:t>a</w:t>
            </w:r>
            <w:r w:rsidRPr="00BB211C">
              <w:rPr>
                <w:rFonts w:asciiTheme="majorBidi" w:hAnsiTheme="majorBidi" w:cstheme="majorBidi"/>
                <w:spacing w:val="-20"/>
                <w:sz w:val="22"/>
                <w:szCs w:val="22"/>
              </w:rPr>
              <w:t xml:space="preserve"> </w:t>
            </w:r>
            <w:r w:rsidRPr="00BB211C">
              <w:rPr>
                <w:rFonts w:asciiTheme="majorBidi" w:hAnsiTheme="majorBidi" w:cstheme="majorBidi"/>
                <w:spacing w:val="2"/>
                <w:sz w:val="22"/>
                <w:szCs w:val="22"/>
              </w:rPr>
              <w:t>3</w:t>
            </w:r>
            <w:r w:rsidRPr="00BB211C">
              <w:rPr>
                <w:rFonts w:asciiTheme="majorBidi" w:hAnsiTheme="majorBidi" w:cstheme="majorBidi"/>
                <w:sz w:val="22"/>
                <w:szCs w:val="22"/>
              </w:rPr>
              <w:t>0</w:t>
            </w:r>
            <w:r w:rsidRPr="00BB211C">
              <w:rPr>
                <w:rFonts w:asciiTheme="majorBidi" w:hAnsiTheme="majorBidi" w:cstheme="majorBidi"/>
                <w:spacing w:val="-6"/>
                <w:sz w:val="22"/>
                <w:szCs w:val="22"/>
              </w:rPr>
              <w:t xml:space="preserve"> </w:t>
            </w:r>
            <w:r w:rsidRPr="00BB211C">
              <w:rPr>
                <w:rFonts w:asciiTheme="majorBidi" w:hAnsiTheme="majorBidi" w:cstheme="majorBidi"/>
                <w:spacing w:val="2"/>
                <w:w w:val="96"/>
                <w:sz w:val="22"/>
                <w:szCs w:val="22"/>
              </w:rPr>
              <w:t xml:space="preserve">gr </w:t>
            </w:r>
            <w:r w:rsidRPr="00BB211C">
              <w:rPr>
                <w:rFonts w:asciiTheme="majorBidi" w:hAnsiTheme="majorBidi" w:cstheme="majorBidi"/>
                <w:spacing w:val="3"/>
                <w:w w:val="96"/>
                <w:sz w:val="22"/>
                <w:szCs w:val="22"/>
              </w:rPr>
              <w:t>e</w:t>
            </w:r>
            <w:r w:rsidRPr="00BB211C">
              <w:rPr>
                <w:rFonts w:asciiTheme="majorBidi" w:hAnsiTheme="majorBidi" w:cstheme="majorBidi"/>
                <w:spacing w:val="1"/>
                <w:w w:val="96"/>
                <w:sz w:val="22"/>
                <w:szCs w:val="22"/>
              </w:rPr>
              <w:t>m</w:t>
            </w:r>
            <w:r w:rsidRPr="00BB211C">
              <w:rPr>
                <w:rFonts w:asciiTheme="majorBidi" w:hAnsiTheme="majorBidi" w:cstheme="majorBidi"/>
                <w:spacing w:val="3"/>
                <w:w w:val="96"/>
                <w:sz w:val="22"/>
                <w:szCs w:val="22"/>
              </w:rPr>
              <w:t>as</w:t>
            </w:r>
          </w:p>
        </w:tc>
      </w:tr>
      <w:tr w:rsidR="00652C37" w:rsidRPr="00BB211C" w14:paraId="62BEA9CB" w14:textId="77777777" w:rsidTr="00652C37">
        <w:tc>
          <w:tcPr>
            <w:tcW w:w="510" w:type="dxa"/>
          </w:tcPr>
          <w:p w14:paraId="4E5494CA" w14:textId="7B3B192C"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5.</w:t>
            </w:r>
          </w:p>
        </w:tc>
        <w:tc>
          <w:tcPr>
            <w:tcW w:w="1620" w:type="dxa"/>
          </w:tcPr>
          <w:p w14:paraId="1DDCDD61"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Banda Aceh</w:t>
            </w:r>
          </w:p>
        </w:tc>
        <w:tc>
          <w:tcPr>
            <w:tcW w:w="2120" w:type="dxa"/>
          </w:tcPr>
          <w:p w14:paraId="666D6397" w14:textId="714B1DE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pacing w:val="2"/>
                <w:w w:val="96"/>
                <w:sz w:val="22"/>
                <w:szCs w:val="22"/>
              </w:rPr>
              <w:t>33</w:t>
            </w:r>
            <w:r w:rsidRPr="00BB211C">
              <w:rPr>
                <w:rFonts w:asciiTheme="majorBidi" w:hAnsiTheme="majorBidi" w:cstheme="majorBidi"/>
                <w:spacing w:val="-1"/>
                <w:w w:val="96"/>
                <w:sz w:val="22"/>
                <w:szCs w:val="22"/>
              </w:rPr>
              <w:t>/</w:t>
            </w:r>
            <w:r w:rsidRPr="00BB211C">
              <w:rPr>
                <w:rFonts w:asciiTheme="majorBidi" w:hAnsiTheme="majorBidi" w:cstheme="majorBidi"/>
                <w:spacing w:val="2"/>
                <w:w w:val="96"/>
                <w:sz w:val="22"/>
                <w:szCs w:val="22"/>
              </w:rPr>
              <w:t>JN</w:t>
            </w:r>
            <w:r w:rsidRPr="00BB211C">
              <w:rPr>
                <w:rFonts w:asciiTheme="majorBidi" w:hAnsiTheme="majorBidi" w:cstheme="majorBidi"/>
                <w:spacing w:val="-1"/>
                <w:w w:val="96"/>
                <w:sz w:val="22"/>
                <w:szCs w:val="22"/>
              </w:rPr>
              <w:t>/</w:t>
            </w:r>
            <w:r w:rsidRPr="00BB211C">
              <w:rPr>
                <w:rFonts w:asciiTheme="majorBidi" w:hAnsiTheme="majorBidi" w:cstheme="majorBidi"/>
                <w:spacing w:val="2"/>
                <w:w w:val="96"/>
                <w:sz w:val="22"/>
                <w:szCs w:val="22"/>
              </w:rPr>
              <w:t>2017</w:t>
            </w:r>
            <w:r w:rsidRPr="00BB211C">
              <w:rPr>
                <w:rFonts w:asciiTheme="majorBidi" w:hAnsiTheme="majorBidi" w:cstheme="majorBidi"/>
                <w:spacing w:val="-1"/>
                <w:w w:val="96"/>
                <w:sz w:val="22"/>
                <w:szCs w:val="22"/>
              </w:rPr>
              <w:t>/</w:t>
            </w:r>
            <w:r w:rsidRPr="00BB211C">
              <w:rPr>
                <w:rFonts w:asciiTheme="majorBidi" w:hAnsiTheme="majorBidi" w:cstheme="majorBidi"/>
                <w:spacing w:val="3"/>
                <w:w w:val="96"/>
                <w:sz w:val="22"/>
                <w:szCs w:val="22"/>
              </w:rPr>
              <w:t>M</w:t>
            </w:r>
            <w:r w:rsidRPr="00BB211C">
              <w:rPr>
                <w:rFonts w:asciiTheme="majorBidi" w:hAnsiTheme="majorBidi" w:cstheme="majorBidi"/>
                <w:spacing w:val="-1"/>
                <w:w w:val="96"/>
                <w:sz w:val="22"/>
                <w:szCs w:val="22"/>
              </w:rPr>
              <w:t>s</w:t>
            </w:r>
            <w:r w:rsidRPr="00BB211C">
              <w:rPr>
                <w:rFonts w:asciiTheme="majorBidi" w:hAnsiTheme="majorBidi" w:cstheme="majorBidi"/>
                <w:spacing w:val="2"/>
                <w:w w:val="96"/>
                <w:sz w:val="22"/>
                <w:szCs w:val="22"/>
              </w:rPr>
              <w:t>.</w:t>
            </w:r>
            <w:r w:rsidRPr="00BB211C">
              <w:rPr>
                <w:rFonts w:asciiTheme="majorBidi" w:hAnsiTheme="majorBidi" w:cstheme="majorBidi"/>
                <w:spacing w:val="1"/>
                <w:w w:val="96"/>
                <w:sz w:val="22"/>
                <w:szCs w:val="22"/>
              </w:rPr>
              <w:t>B</w:t>
            </w:r>
            <w:r w:rsidRPr="00BB211C">
              <w:rPr>
                <w:rFonts w:asciiTheme="majorBidi" w:hAnsiTheme="majorBidi" w:cstheme="majorBidi"/>
                <w:spacing w:val="2"/>
                <w:w w:val="96"/>
                <w:sz w:val="22"/>
                <w:szCs w:val="22"/>
              </w:rPr>
              <w:t>na</w:t>
            </w:r>
          </w:p>
        </w:tc>
        <w:tc>
          <w:tcPr>
            <w:tcW w:w="989" w:type="dxa"/>
          </w:tcPr>
          <w:p w14:paraId="6716C627" w14:textId="089BEFDF"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Khamar</w:t>
            </w:r>
          </w:p>
        </w:tc>
        <w:tc>
          <w:tcPr>
            <w:tcW w:w="923" w:type="dxa"/>
          </w:tcPr>
          <w:p w14:paraId="6FBCC3E5"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Kristen</w:t>
            </w:r>
          </w:p>
        </w:tc>
        <w:tc>
          <w:tcPr>
            <w:tcW w:w="2656" w:type="dxa"/>
          </w:tcPr>
          <w:p w14:paraId="442D21F8" w14:textId="073F88B2" w:rsidR="00652C37" w:rsidRPr="00BB211C" w:rsidRDefault="00652C37" w:rsidP="00652C37">
            <w:pPr>
              <w:spacing w:before="0" w:beforeAutospacing="0" w:after="0" w:afterAutospacing="0" w:line="240" w:lineRule="auto"/>
              <w:ind w:left="16" w:right="39"/>
              <w:jc w:val="center"/>
              <w:rPr>
                <w:rFonts w:asciiTheme="majorBidi" w:hAnsiTheme="majorBidi" w:cstheme="majorBidi"/>
                <w:sz w:val="22"/>
                <w:szCs w:val="22"/>
                <w:lang w:val="en-US"/>
              </w:rPr>
            </w:pPr>
            <w:r w:rsidRPr="00BB211C">
              <w:rPr>
                <w:rFonts w:asciiTheme="majorBidi" w:hAnsiTheme="majorBidi" w:cstheme="majorBidi"/>
                <w:spacing w:val="-1"/>
                <w:sz w:val="22"/>
                <w:szCs w:val="22"/>
              </w:rPr>
              <w:t>C</w:t>
            </w:r>
            <w:r w:rsidRPr="00BB211C">
              <w:rPr>
                <w:rFonts w:asciiTheme="majorBidi" w:hAnsiTheme="majorBidi" w:cstheme="majorBidi"/>
                <w:sz w:val="22"/>
                <w:szCs w:val="22"/>
              </w:rPr>
              <w:t>a</w:t>
            </w:r>
            <w:r w:rsidRPr="00BB211C">
              <w:rPr>
                <w:rFonts w:asciiTheme="majorBidi" w:hAnsiTheme="majorBidi" w:cstheme="majorBidi"/>
                <w:spacing w:val="1"/>
                <w:sz w:val="22"/>
                <w:szCs w:val="22"/>
              </w:rPr>
              <w:t>mbu</w:t>
            </w:r>
            <w:r w:rsidRPr="00BB211C">
              <w:rPr>
                <w:rFonts w:asciiTheme="majorBidi" w:hAnsiTheme="majorBidi" w:cstheme="majorBidi"/>
                <w:sz w:val="22"/>
                <w:szCs w:val="22"/>
              </w:rPr>
              <w:t>k</w:t>
            </w:r>
            <w:r w:rsidRPr="00BB211C">
              <w:rPr>
                <w:rFonts w:asciiTheme="majorBidi" w:hAnsiTheme="majorBidi" w:cstheme="majorBidi"/>
                <w:spacing w:val="-5"/>
                <w:sz w:val="22"/>
                <w:szCs w:val="22"/>
              </w:rPr>
              <w:t xml:space="preserve"> </w:t>
            </w:r>
            <w:r w:rsidRPr="00BB211C">
              <w:rPr>
                <w:rFonts w:asciiTheme="majorBidi" w:hAnsiTheme="majorBidi" w:cstheme="majorBidi"/>
                <w:spacing w:val="1"/>
                <w:w w:val="99"/>
                <w:sz w:val="22"/>
                <w:szCs w:val="22"/>
              </w:rPr>
              <w:t>40 k</w:t>
            </w:r>
            <w:r w:rsidRPr="00BB211C">
              <w:rPr>
                <w:rFonts w:asciiTheme="majorBidi" w:hAnsiTheme="majorBidi" w:cstheme="majorBidi"/>
                <w:w w:val="99"/>
                <w:sz w:val="22"/>
                <w:szCs w:val="22"/>
              </w:rPr>
              <w:t>al</w:t>
            </w:r>
            <w:r w:rsidRPr="00BB211C">
              <w:rPr>
                <w:rFonts w:asciiTheme="majorBidi" w:hAnsiTheme="majorBidi" w:cstheme="majorBidi"/>
                <w:w w:val="99"/>
                <w:sz w:val="22"/>
                <w:szCs w:val="22"/>
                <w:lang w:val="en-US"/>
              </w:rPr>
              <w:t>i</w:t>
            </w:r>
          </w:p>
        </w:tc>
      </w:tr>
      <w:tr w:rsidR="00652C37" w:rsidRPr="00BB211C" w14:paraId="46A3C968" w14:textId="77777777" w:rsidTr="00652C37">
        <w:tc>
          <w:tcPr>
            <w:tcW w:w="510" w:type="dxa"/>
          </w:tcPr>
          <w:p w14:paraId="4784BCA5" w14:textId="2541992F"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6.</w:t>
            </w:r>
          </w:p>
        </w:tc>
        <w:tc>
          <w:tcPr>
            <w:tcW w:w="1620" w:type="dxa"/>
          </w:tcPr>
          <w:p w14:paraId="4A45CEFF"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Banda Aceh</w:t>
            </w:r>
          </w:p>
        </w:tc>
        <w:tc>
          <w:tcPr>
            <w:tcW w:w="2120" w:type="dxa"/>
          </w:tcPr>
          <w:p w14:paraId="4ABB1650" w14:textId="69C72432"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pacing w:val="2"/>
                <w:sz w:val="22"/>
                <w:szCs w:val="22"/>
              </w:rPr>
              <w:t>6</w:t>
            </w:r>
            <w:r w:rsidRPr="00BB211C">
              <w:rPr>
                <w:rFonts w:asciiTheme="majorBidi" w:hAnsiTheme="majorBidi" w:cstheme="majorBidi"/>
                <w:spacing w:val="-1"/>
                <w:sz w:val="22"/>
                <w:szCs w:val="22"/>
              </w:rPr>
              <w:t>/J</w:t>
            </w:r>
            <w:r w:rsidRPr="00BB211C">
              <w:rPr>
                <w:rFonts w:asciiTheme="majorBidi" w:hAnsiTheme="majorBidi" w:cstheme="majorBidi"/>
                <w:sz w:val="22"/>
                <w:szCs w:val="22"/>
              </w:rPr>
              <w:t>N</w:t>
            </w:r>
            <w:r w:rsidRPr="00BB211C">
              <w:rPr>
                <w:rFonts w:asciiTheme="majorBidi" w:hAnsiTheme="majorBidi" w:cstheme="majorBidi"/>
                <w:spacing w:val="-1"/>
                <w:sz w:val="22"/>
                <w:szCs w:val="22"/>
              </w:rPr>
              <w:t>/</w:t>
            </w:r>
            <w:r w:rsidRPr="00BB211C">
              <w:rPr>
                <w:rFonts w:asciiTheme="majorBidi" w:hAnsiTheme="majorBidi" w:cstheme="majorBidi"/>
                <w:spacing w:val="2"/>
                <w:sz w:val="22"/>
                <w:szCs w:val="22"/>
              </w:rPr>
              <w:t>2018</w:t>
            </w:r>
            <w:r w:rsidRPr="00BB211C">
              <w:rPr>
                <w:rFonts w:asciiTheme="majorBidi" w:hAnsiTheme="majorBidi" w:cstheme="majorBidi"/>
                <w:spacing w:val="-1"/>
                <w:sz w:val="22"/>
                <w:szCs w:val="22"/>
              </w:rPr>
              <w:t>/</w:t>
            </w:r>
            <w:r w:rsidRPr="00BB211C">
              <w:rPr>
                <w:rFonts w:asciiTheme="majorBidi" w:hAnsiTheme="majorBidi" w:cstheme="majorBidi"/>
                <w:spacing w:val="1"/>
                <w:sz w:val="22"/>
                <w:szCs w:val="22"/>
              </w:rPr>
              <w:t>M</w:t>
            </w:r>
            <w:r w:rsidRPr="00BB211C">
              <w:rPr>
                <w:rFonts w:asciiTheme="majorBidi" w:hAnsiTheme="majorBidi" w:cstheme="majorBidi"/>
                <w:spacing w:val="-1"/>
                <w:sz w:val="22"/>
                <w:szCs w:val="22"/>
              </w:rPr>
              <w:t>s</w:t>
            </w:r>
            <w:r w:rsidRPr="00BB211C">
              <w:rPr>
                <w:rFonts w:asciiTheme="majorBidi" w:hAnsiTheme="majorBidi" w:cstheme="majorBidi"/>
                <w:sz w:val="22"/>
                <w:szCs w:val="22"/>
              </w:rPr>
              <w:t>.</w:t>
            </w:r>
            <w:r w:rsidRPr="00BB211C">
              <w:rPr>
                <w:rFonts w:asciiTheme="majorBidi" w:hAnsiTheme="majorBidi" w:cstheme="majorBidi"/>
                <w:spacing w:val="-2"/>
                <w:sz w:val="22"/>
                <w:szCs w:val="22"/>
              </w:rPr>
              <w:t>B</w:t>
            </w:r>
            <w:r w:rsidRPr="00BB211C">
              <w:rPr>
                <w:rFonts w:asciiTheme="majorBidi" w:hAnsiTheme="majorBidi" w:cstheme="majorBidi"/>
                <w:spacing w:val="2"/>
                <w:sz w:val="22"/>
                <w:szCs w:val="22"/>
              </w:rPr>
              <w:t>na</w:t>
            </w:r>
          </w:p>
        </w:tc>
        <w:tc>
          <w:tcPr>
            <w:tcW w:w="989" w:type="dxa"/>
          </w:tcPr>
          <w:p w14:paraId="1D834166"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Maisir</w:t>
            </w:r>
          </w:p>
        </w:tc>
        <w:tc>
          <w:tcPr>
            <w:tcW w:w="923" w:type="dxa"/>
          </w:tcPr>
          <w:p w14:paraId="4F70AD29"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Kristen</w:t>
            </w:r>
          </w:p>
        </w:tc>
        <w:tc>
          <w:tcPr>
            <w:tcW w:w="2656" w:type="dxa"/>
          </w:tcPr>
          <w:p w14:paraId="671EE002" w14:textId="77777777" w:rsidR="00652C37" w:rsidRPr="00BB211C" w:rsidRDefault="00652C37" w:rsidP="00652C37">
            <w:pPr>
              <w:spacing w:before="0" w:beforeAutospacing="0" w:after="0" w:afterAutospacing="0" w:line="240" w:lineRule="auto"/>
              <w:jc w:val="center"/>
              <w:rPr>
                <w:rFonts w:asciiTheme="majorBidi" w:hAnsiTheme="majorBidi" w:cstheme="majorBidi"/>
                <w:sz w:val="22"/>
                <w:szCs w:val="22"/>
              </w:rPr>
            </w:pPr>
            <w:r w:rsidRPr="00BB211C">
              <w:rPr>
                <w:rFonts w:asciiTheme="majorBidi" w:hAnsiTheme="majorBidi" w:cstheme="majorBidi"/>
                <w:spacing w:val="-1"/>
                <w:sz w:val="22"/>
                <w:szCs w:val="22"/>
              </w:rPr>
              <w:t>C</w:t>
            </w:r>
            <w:r w:rsidRPr="00BB211C">
              <w:rPr>
                <w:rFonts w:asciiTheme="majorBidi" w:hAnsiTheme="majorBidi" w:cstheme="majorBidi"/>
                <w:sz w:val="22"/>
                <w:szCs w:val="22"/>
              </w:rPr>
              <w:t>a</w:t>
            </w:r>
            <w:r w:rsidRPr="00BB211C">
              <w:rPr>
                <w:rFonts w:asciiTheme="majorBidi" w:hAnsiTheme="majorBidi" w:cstheme="majorBidi"/>
                <w:spacing w:val="1"/>
                <w:sz w:val="22"/>
                <w:szCs w:val="22"/>
              </w:rPr>
              <w:t>mbu</w:t>
            </w:r>
            <w:r w:rsidRPr="00BB211C">
              <w:rPr>
                <w:rFonts w:asciiTheme="majorBidi" w:hAnsiTheme="majorBidi" w:cstheme="majorBidi"/>
                <w:sz w:val="22"/>
                <w:szCs w:val="22"/>
              </w:rPr>
              <w:t>k</w:t>
            </w:r>
            <w:r w:rsidRPr="00BB211C">
              <w:rPr>
                <w:rFonts w:asciiTheme="majorBidi" w:hAnsiTheme="majorBidi" w:cstheme="majorBidi"/>
                <w:spacing w:val="-5"/>
                <w:sz w:val="22"/>
                <w:szCs w:val="22"/>
              </w:rPr>
              <w:t xml:space="preserve"> </w:t>
            </w:r>
            <w:r w:rsidRPr="00BB211C">
              <w:rPr>
                <w:rFonts w:asciiTheme="majorBidi" w:hAnsiTheme="majorBidi" w:cstheme="majorBidi"/>
                <w:w w:val="99"/>
                <w:sz w:val="22"/>
                <w:szCs w:val="22"/>
              </w:rPr>
              <w:t xml:space="preserve">8 </w:t>
            </w:r>
            <w:r w:rsidRPr="00BB211C">
              <w:rPr>
                <w:rFonts w:asciiTheme="majorBidi" w:hAnsiTheme="majorBidi" w:cstheme="majorBidi"/>
                <w:spacing w:val="1"/>
                <w:w w:val="99"/>
                <w:sz w:val="22"/>
                <w:szCs w:val="22"/>
              </w:rPr>
              <w:t>k</w:t>
            </w:r>
            <w:r w:rsidRPr="00BB211C">
              <w:rPr>
                <w:rFonts w:asciiTheme="majorBidi" w:hAnsiTheme="majorBidi" w:cstheme="majorBidi"/>
                <w:w w:val="99"/>
                <w:sz w:val="22"/>
                <w:szCs w:val="22"/>
              </w:rPr>
              <w:t>ali</w:t>
            </w:r>
          </w:p>
        </w:tc>
      </w:tr>
      <w:tr w:rsidR="00652C37" w:rsidRPr="00BB211C" w14:paraId="17B9827C" w14:textId="77777777" w:rsidTr="00652C37">
        <w:tc>
          <w:tcPr>
            <w:tcW w:w="510" w:type="dxa"/>
          </w:tcPr>
          <w:p w14:paraId="14727167" w14:textId="609E5EA3"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7.</w:t>
            </w:r>
          </w:p>
        </w:tc>
        <w:tc>
          <w:tcPr>
            <w:tcW w:w="1620" w:type="dxa"/>
          </w:tcPr>
          <w:p w14:paraId="05752F00" w14:textId="190FA790" w:rsidR="00652C37" w:rsidRPr="00BB211C" w:rsidRDefault="00652C37" w:rsidP="00652C37">
            <w:pPr>
              <w:spacing w:before="0" w:beforeAutospacing="0" w:after="0" w:afterAutospacing="0" w:line="240" w:lineRule="auto"/>
              <w:jc w:val="both"/>
              <w:rPr>
                <w:rFonts w:asciiTheme="majorBidi" w:hAnsiTheme="majorBidi" w:cstheme="majorBidi"/>
                <w:sz w:val="22"/>
                <w:szCs w:val="22"/>
              </w:rPr>
            </w:pPr>
            <w:r w:rsidRPr="00BB211C">
              <w:rPr>
                <w:rFonts w:asciiTheme="majorBidi" w:hAnsiTheme="majorBidi" w:cstheme="majorBidi"/>
                <w:spacing w:val="1"/>
                <w:sz w:val="22"/>
                <w:szCs w:val="22"/>
              </w:rPr>
              <w:t>Lhok</w:t>
            </w:r>
            <w:r w:rsidRPr="00BB211C">
              <w:rPr>
                <w:rFonts w:asciiTheme="majorBidi" w:hAnsiTheme="majorBidi" w:cstheme="majorBidi"/>
                <w:spacing w:val="-1"/>
                <w:sz w:val="22"/>
                <w:szCs w:val="22"/>
              </w:rPr>
              <w:t>s</w:t>
            </w:r>
            <w:r w:rsidRPr="00BB211C">
              <w:rPr>
                <w:rFonts w:asciiTheme="majorBidi" w:hAnsiTheme="majorBidi" w:cstheme="majorBidi"/>
                <w:sz w:val="22"/>
                <w:szCs w:val="22"/>
              </w:rPr>
              <w:t>e</w:t>
            </w:r>
            <w:r w:rsidRPr="00BB211C">
              <w:rPr>
                <w:rFonts w:asciiTheme="majorBidi" w:hAnsiTheme="majorBidi" w:cstheme="majorBidi"/>
                <w:sz w:val="22"/>
                <w:szCs w:val="22"/>
                <w:lang w:val="en-US"/>
              </w:rPr>
              <w:t>u</w:t>
            </w:r>
            <w:r w:rsidRPr="00BB211C">
              <w:rPr>
                <w:rFonts w:asciiTheme="majorBidi" w:hAnsiTheme="majorBidi" w:cstheme="majorBidi"/>
                <w:spacing w:val="1"/>
                <w:sz w:val="22"/>
                <w:szCs w:val="22"/>
              </w:rPr>
              <w:t>m</w:t>
            </w:r>
            <w:r w:rsidRPr="00BB211C">
              <w:rPr>
                <w:rFonts w:asciiTheme="majorBidi" w:hAnsiTheme="majorBidi" w:cstheme="majorBidi"/>
                <w:sz w:val="22"/>
                <w:szCs w:val="22"/>
              </w:rPr>
              <w:t>awe</w:t>
            </w:r>
          </w:p>
        </w:tc>
        <w:tc>
          <w:tcPr>
            <w:tcW w:w="2120" w:type="dxa"/>
          </w:tcPr>
          <w:p w14:paraId="58CAF736" w14:textId="17C486FB"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pacing w:val="2"/>
                <w:w w:val="96"/>
                <w:sz w:val="22"/>
                <w:szCs w:val="22"/>
              </w:rPr>
              <w:t>10</w:t>
            </w:r>
            <w:r w:rsidRPr="00BB211C">
              <w:rPr>
                <w:rFonts w:asciiTheme="majorBidi" w:hAnsiTheme="majorBidi" w:cstheme="majorBidi"/>
                <w:spacing w:val="-1"/>
                <w:w w:val="96"/>
                <w:sz w:val="22"/>
                <w:szCs w:val="22"/>
              </w:rPr>
              <w:t>/J</w:t>
            </w:r>
            <w:r w:rsidRPr="00BB211C">
              <w:rPr>
                <w:rFonts w:asciiTheme="majorBidi" w:hAnsiTheme="majorBidi" w:cstheme="majorBidi"/>
                <w:w w:val="96"/>
                <w:sz w:val="22"/>
                <w:szCs w:val="22"/>
              </w:rPr>
              <w:t>N</w:t>
            </w:r>
            <w:r w:rsidRPr="00BB211C">
              <w:rPr>
                <w:rFonts w:asciiTheme="majorBidi" w:hAnsiTheme="majorBidi" w:cstheme="majorBidi"/>
                <w:spacing w:val="-1"/>
                <w:w w:val="96"/>
                <w:sz w:val="22"/>
                <w:szCs w:val="22"/>
              </w:rPr>
              <w:t>/</w:t>
            </w:r>
            <w:r w:rsidRPr="00BB211C">
              <w:rPr>
                <w:rFonts w:asciiTheme="majorBidi" w:hAnsiTheme="majorBidi" w:cstheme="majorBidi"/>
                <w:spacing w:val="2"/>
                <w:w w:val="96"/>
                <w:sz w:val="22"/>
                <w:szCs w:val="22"/>
              </w:rPr>
              <w:t>20</w:t>
            </w:r>
            <w:r w:rsidRPr="00BB211C">
              <w:rPr>
                <w:rFonts w:asciiTheme="majorBidi" w:hAnsiTheme="majorBidi" w:cstheme="majorBidi"/>
                <w:spacing w:val="-1"/>
                <w:w w:val="96"/>
                <w:sz w:val="22"/>
                <w:szCs w:val="22"/>
              </w:rPr>
              <w:t>1</w:t>
            </w:r>
            <w:r w:rsidRPr="00BB211C">
              <w:rPr>
                <w:rFonts w:asciiTheme="majorBidi" w:hAnsiTheme="majorBidi" w:cstheme="majorBidi"/>
                <w:spacing w:val="2"/>
                <w:w w:val="96"/>
                <w:sz w:val="22"/>
                <w:szCs w:val="22"/>
              </w:rPr>
              <w:t>8</w:t>
            </w:r>
            <w:r w:rsidRPr="00BB211C">
              <w:rPr>
                <w:rFonts w:asciiTheme="majorBidi" w:hAnsiTheme="majorBidi" w:cstheme="majorBidi"/>
                <w:spacing w:val="-1"/>
                <w:w w:val="96"/>
                <w:sz w:val="22"/>
                <w:szCs w:val="22"/>
              </w:rPr>
              <w:t>/</w:t>
            </w:r>
            <w:r w:rsidRPr="00BB211C">
              <w:rPr>
                <w:rFonts w:asciiTheme="majorBidi" w:hAnsiTheme="majorBidi" w:cstheme="majorBidi"/>
                <w:spacing w:val="1"/>
                <w:w w:val="96"/>
                <w:sz w:val="22"/>
                <w:szCs w:val="22"/>
              </w:rPr>
              <w:t>M</w:t>
            </w:r>
            <w:r w:rsidRPr="00BB211C">
              <w:rPr>
                <w:rFonts w:asciiTheme="majorBidi" w:hAnsiTheme="majorBidi" w:cstheme="majorBidi"/>
                <w:spacing w:val="-1"/>
                <w:w w:val="96"/>
                <w:sz w:val="22"/>
                <w:szCs w:val="22"/>
              </w:rPr>
              <w:t>s</w:t>
            </w:r>
            <w:r w:rsidRPr="00BB211C">
              <w:rPr>
                <w:rFonts w:asciiTheme="majorBidi" w:hAnsiTheme="majorBidi" w:cstheme="majorBidi"/>
                <w:w w:val="96"/>
                <w:sz w:val="22"/>
                <w:szCs w:val="22"/>
              </w:rPr>
              <w:t>.L</w:t>
            </w:r>
            <w:r w:rsidRPr="00BB211C">
              <w:rPr>
                <w:rFonts w:asciiTheme="majorBidi" w:hAnsiTheme="majorBidi" w:cstheme="majorBidi"/>
                <w:spacing w:val="-1"/>
                <w:w w:val="96"/>
                <w:sz w:val="22"/>
                <w:szCs w:val="22"/>
              </w:rPr>
              <w:t>sm</w:t>
            </w:r>
          </w:p>
        </w:tc>
        <w:tc>
          <w:tcPr>
            <w:tcW w:w="989" w:type="dxa"/>
          </w:tcPr>
          <w:p w14:paraId="2CC141FD"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Khamar</w:t>
            </w:r>
          </w:p>
        </w:tc>
        <w:tc>
          <w:tcPr>
            <w:tcW w:w="923" w:type="dxa"/>
          </w:tcPr>
          <w:p w14:paraId="0D0D50B8" w14:textId="77777777" w:rsidR="00652C37" w:rsidRPr="00BB211C" w:rsidRDefault="00652C37" w:rsidP="00652C37">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Kristen</w:t>
            </w:r>
          </w:p>
        </w:tc>
        <w:tc>
          <w:tcPr>
            <w:tcW w:w="2656" w:type="dxa"/>
          </w:tcPr>
          <w:p w14:paraId="3626BF06" w14:textId="0E4B2C0E" w:rsidR="00652C37" w:rsidRPr="00BB211C" w:rsidRDefault="00652C37" w:rsidP="00652C37">
            <w:pPr>
              <w:spacing w:before="0" w:beforeAutospacing="0" w:after="0" w:afterAutospacing="0" w:line="240" w:lineRule="auto"/>
              <w:ind w:left="129"/>
              <w:jc w:val="center"/>
              <w:rPr>
                <w:rFonts w:asciiTheme="majorBidi" w:hAnsiTheme="majorBidi" w:cstheme="majorBidi"/>
                <w:sz w:val="22"/>
                <w:szCs w:val="22"/>
              </w:rPr>
            </w:pPr>
            <w:r w:rsidRPr="00BB211C">
              <w:rPr>
                <w:rFonts w:asciiTheme="majorBidi" w:hAnsiTheme="majorBidi" w:cstheme="majorBidi"/>
                <w:spacing w:val="-1"/>
                <w:sz w:val="22"/>
                <w:szCs w:val="22"/>
              </w:rPr>
              <w:t>C</w:t>
            </w:r>
            <w:r w:rsidRPr="00BB211C">
              <w:rPr>
                <w:rFonts w:asciiTheme="majorBidi" w:hAnsiTheme="majorBidi" w:cstheme="majorBidi"/>
                <w:sz w:val="22"/>
                <w:szCs w:val="22"/>
              </w:rPr>
              <w:t>a</w:t>
            </w:r>
            <w:r w:rsidRPr="00BB211C">
              <w:rPr>
                <w:rFonts w:asciiTheme="majorBidi" w:hAnsiTheme="majorBidi" w:cstheme="majorBidi"/>
                <w:spacing w:val="1"/>
                <w:sz w:val="22"/>
                <w:szCs w:val="22"/>
              </w:rPr>
              <w:t>mbuk2</w:t>
            </w:r>
            <w:r w:rsidRPr="00BB211C">
              <w:rPr>
                <w:rFonts w:asciiTheme="majorBidi" w:hAnsiTheme="majorBidi" w:cstheme="majorBidi"/>
                <w:sz w:val="22"/>
                <w:szCs w:val="22"/>
              </w:rPr>
              <w:t xml:space="preserve">0 </w:t>
            </w:r>
            <w:r w:rsidRPr="00BB211C">
              <w:rPr>
                <w:rFonts w:asciiTheme="majorBidi" w:hAnsiTheme="majorBidi" w:cstheme="majorBidi"/>
                <w:spacing w:val="1"/>
                <w:sz w:val="22"/>
                <w:szCs w:val="22"/>
              </w:rPr>
              <w:t>k</w:t>
            </w:r>
            <w:r w:rsidRPr="00BB211C">
              <w:rPr>
                <w:rFonts w:asciiTheme="majorBidi" w:hAnsiTheme="majorBidi" w:cstheme="majorBidi"/>
                <w:sz w:val="22"/>
                <w:szCs w:val="22"/>
              </w:rPr>
              <w:t>ali</w:t>
            </w:r>
          </w:p>
        </w:tc>
      </w:tr>
    </w:tbl>
    <w:p w14:paraId="50DCD2D5" w14:textId="3D3D3542" w:rsidR="00C30D23" w:rsidRPr="00BB211C" w:rsidRDefault="00CC581D" w:rsidP="00037D10">
      <w:pPr>
        <w:spacing w:before="0" w:beforeAutospacing="0" w:after="0" w:afterAutospacing="0" w:line="240" w:lineRule="auto"/>
        <w:jc w:val="both"/>
        <w:rPr>
          <w:rFonts w:asciiTheme="majorBidi" w:hAnsiTheme="majorBidi" w:cstheme="majorBidi"/>
          <w:sz w:val="22"/>
          <w:szCs w:val="22"/>
          <w:lang w:val="en-US"/>
        </w:rPr>
      </w:pPr>
      <w:r w:rsidRPr="00BB211C">
        <w:rPr>
          <w:rFonts w:asciiTheme="majorBidi" w:hAnsiTheme="majorBidi" w:cstheme="majorBidi"/>
          <w:sz w:val="22"/>
          <w:szCs w:val="22"/>
          <w:lang w:val="en-US"/>
        </w:rPr>
        <w:t xml:space="preserve">Sumber </w:t>
      </w:r>
      <w:r w:rsidR="00BB211C">
        <w:rPr>
          <w:rFonts w:asciiTheme="majorBidi" w:hAnsiTheme="majorBidi" w:cstheme="majorBidi"/>
          <w:sz w:val="22"/>
          <w:szCs w:val="22"/>
          <w:lang w:val="en-US"/>
        </w:rPr>
        <w:t>D</w:t>
      </w:r>
      <w:r w:rsidRPr="00BB211C">
        <w:rPr>
          <w:rFonts w:asciiTheme="majorBidi" w:hAnsiTheme="majorBidi" w:cstheme="majorBidi"/>
          <w:sz w:val="22"/>
          <w:szCs w:val="22"/>
          <w:lang w:val="en-US"/>
        </w:rPr>
        <w:t>ata: Direktori P</w:t>
      </w:r>
      <w:r w:rsidR="00BB211C">
        <w:rPr>
          <w:rFonts w:asciiTheme="majorBidi" w:hAnsiTheme="majorBidi" w:cstheme="majorBidi"/>
          <w:sz w:val="22"/>
          <w:szCs w:val="22"/>
          <w:lang w:val="en-US"/>
        </w:rPr>
        <w:t>utusan</w:t>
      </w:r>
      <w:r w:rsidRPr="00BB211C">
        <w:rPr>
          <w:rFonts w:asciiTheme="majorBidi" w:hAnsiTheme="majorBidi" w:cstheme="majorBidi"/>
          <w:sz w:val="22"/>
          <w:szCs w:val="22"/>
          <w:lang w:val="en-US"/>
        </w:rPr>
        <w:t xml:space="preserve"> Mahkamah Agung RI dan </w:t>
      </w:r>
      <w:r w:rsidRPr="00BB211C">
        <w:rPr>
          <w:rFonts w:asciiTheme="majorBidi" w:hAnsiTheme="majorBidi" w:cstheme="majorBidi"/>
          <w:i/>
          <w:iCs/>
          <w:sz w:val="22"/>
          <w:szCs w:val="22"/>
          <w:lang w:val="en-US"/>
        </w:rPr>
        <w:t>Kedudukan Non-Muslim dan Qanun Jinayat</w:t>
      </w:r>
      <w:r w:rsidRPr="00BB211C">
        <w:rPr>
          <w:rFonts w:asciiTheme="majorBidi" w:hAnsiTheme="majorBidi" w:cstheme="majorBidi"/>
          <w:sz w:val="22"/>
          <w:szCs w:val="22"/>
          <w:lang w:val="en-US"/>
        </w:rPr>
        <w:t xml:space="preserve"> </w:t>
      </w:r>
      <w:r w:rsidR="00712ED2">
        <w:rPr>
          <w:rStyle w:val="FootnoteReference"/>
          <w:rFonts w:asciiTheme="majorBidi" w:hAnsiTheme="majorBidi" w:cstheme="majorBidi"/>
          <w:sz w:val="22"/>
          <w:szCs w:val="22"/>
          <w:lang w:val="en-US"/>
        </w:rPr>
        <w:footnoteReference w:id="6"/>
      </w:r>
    </w:p>
    <w:p w14:paraId="5E6422F4" w14:textId="757D69D5" w:rsidR="00CC581D" w:rsidRPr="00BB211C" w:rsidRDefault="001A0F1F" w:rsidP="00BB211C">
      <w:pPr>
        <w:spacing w:before="120" w:beforeAutospacing="0" w:after="0" w:afterAutospacing="0" w:line="240" w:lineRule="auto"/>
        <w:ind w:firstLine="720"/>
        <w:jc w:val="both"/>
        <w:rPr>
          <w:rFonts w:asciiTheme="majorBidi" w:hAnsiTheme="majorBidi" w:cstheme="majorBidi"/>
          <w:sz w:val="22"/>
          <w:szCs w:val="22"/>
          <w:lang w:val="en-US"/>
        </w:rPr>
      </w:pPr>
      <w:r w:rsidRPr="00BB211C">
        <w:rPr>
          <w:rFonts w:asciiTheme="majorBidi" w:hAnsiTheme="majorBidi" w:cstheme="majorBidi"/>
          <w:sz w:val="22"/>
          <w:szCs w:val="22"/>
        </w:rPr>
        <w:t>Data tersebut menggambarkan bahwa dari beberapa jenis hukuman di dalam Qanun Jinayat, tidak ada yang menjatuhkan pidana penjara terhadap non-</w:t>
      </w:r>
      <w:r w:rsidR="00053E82" w:rsidRPr="00BB211C">
        <w:rPr>
          <w:rFonts w:asciiTheme="majorBidi" w:hAnsiTheme="majorBidi" w:cstheme="majorBidi"/>
          <w:sz w:val="22"/>
          <w:szCs w:val="22"/>
          <w:lang w:val="en-US"/>
        </w:rPr>
        <w:t>M</w:t>
      </w:r>
      <w:r w:rsidRPr="00BB211C">
        <w:rPr>
          <w:rFonts w:asciiTheme="majorBidi" w:hAnsiTheme="majorBidi" w:cstheme="majorBidi"/>
          <w:sz w:val="22"/>
          <w:szCs w:val="22"/>
        </w:rPr>
        <w:t>uslim yang menundu</w:t>
      </w:r>
      <w:r w:rsidR="00CC581D" w:rsidRPr="00BB211C">
        <w:rPr>
          <w:rFonts w:asciiTheme="majorBidi" w:hAnsiTheme="majorBidi" w:cstheme="majorBidi"/>
          <w:sz w:val="22"/>
          <w:szCs w:val="22"/>
        </w:rPr>
        <w:t>k</w:t>
      </w:r>
      <w:r w:rsidRPr="00BB211C">
        <w:rPr>
          <w:rFonts w:asciiTheme="majorBidi" w:hAnsiTheme="majorBidi" w:cstheme="majorBidi"/>
          <w:sz w:val="22"/>
          <w:szCs w:val="22"/>
        </w:rPr>
        <w:t>kan diri.</w:t>
      </w:r>
      <w:r w:rsidR="00F82121" w:rsidRPr="00BB211C">
        <w:rPr>
          <w:rFonts w:asciiTheme="majorBidi" w:hAnsiTheme="majorBidi" w:cstheme="majorBidi"/>
          <w:sz w:val="22"/>
          <w:szCs w:val="22"/>
        </w:rPr>
        <w:t xml:space="preserve"> Sedangkan di dalam </w:t>
      </w:r>
      <w:r w:rsidR="00CC581D" w:rsidRPr="00BB211C">
        <w:rPr>
          <w:rFonts w:asciiTheme="majorBidi" w:hAnsiTheme="majorBidi" w:cstheme="majorBidi"/>
          <w:sz w:val="22"/>
          <w:szCs w:val="22"/>
          <w:lang w:val="en-US"/>
        </w:rPr>
        <w:t>Q</w:t>
      </w:r>
      <w:r w:rsidR="00F82121" w:rsidRPr="00BB211C">
        <w:rPr>
          <w:rFonts w:asciiTheme="majorBidi" w:hAnsiTheme="majorBidi" w:cstheme="majorBidi"/>
          <w:sz w:val="22"/>
          <w:szCs w:val="22"/>
        </w:rPr>
        <w:t xml:space="preserve">anun </w:t>
      </w:r>
      <w:r w:rsidR="00CC581D" w:rsidRPr="00BB211C">
        <w:rPr>
          <w:rFonts w:asciiTheme="majorBidi" w:hAnsiTheme="majorBidi" w:cstheme="majorBidi"/>
          <w:sz w:val="22"/>
          <w:szCs w:val="22"/>
          <w:lang w:val="en-US"/>
        </w:rPr>
        <w:t>J</w:t>
      </w:r>
      <w:r w:rsidR="00F82121" w:rsidRPr="00BB211C">
        <w:rPr>
          <w:rFonts w:asciiTheme="majorBidi" w:hAnsiTheme="majorBidi" w:cstheme="majorBidi"/>
          <w:sz w:val="22"/>
          <w:szCs w:val="22"/>
        </w:rPr>
        <w:t xml:space="preserve">inayat hukuman cambuk bukanlah satu-satunya hukuman. Ada beberapa jenis hukuman di dalam Qanun </w:t>
      </w:r>
      <w:r w:rsidR="00E91ABB" w:rsidRPr="00BB211C">
        <w:rPr>
          <w:rFonts w:asciiTheme="majorBidi" w:hAnsiTheme="majorBidi" w:cstheme="majorBidi"/>
          <w:sz w:val="22"/>
          <w:szCs w:val="22"/>
          <w:lang w:val="en-US"/>
        </w:rPr>
        <w:t>J</w:t>
      </w:r>
      <w:r w:rsidR="00F82121" w:rsidRPr="00BB211C">
        <w:rPr>
          <w:rFonts w:asciiTheme="majorBidi" w:hAnsiTheme="majorBidi" w:cstheme="majorBidi"/>
          <w:sz w:val="22"/>
          <w:szCs w:val="22"/>
        </w:rPr>
        <w:t>inaya</w:t>
      </w:r>
      <w:r w:rsidR="00E91ABB" w:rsidRPr="00BB211C">
        <w:rPr>
          <w:rFonts w:asciiTheme="majorBidi" w:hAnsiTheme="majorBidi" w:cstheme="majorBidi"/>
          <w:sz w:val="22"/>
          <w:szCs w:val="22"/>
          <w:lang w:val="en-US"/>
        </w:rPr>
        <w:t>t</w:t>
      </w:r>
      <w:r w:rsidR="00F82121" w:rsidRPr="00BB211C">
        <w:rPr>
          <w:rFonts w:asciiTheme="majorBidi" w:hAnsiTheme="majorBidi" w:cstheme="majorBidi"/>
          <w:sz w:val="22"/>
          <w:szCs w:val="22"/>
        </w:rPr>
        <w:t>, yaitu s</w:t>
      </w:r>
      <w:r w:rsidR="005256DF" w:rsidRPr="00BB211C">
        <w:rPr>
          <w:rFonts w:asciiTheme="majorBidi" w:hAnsiTheme="majorBidi" w:cstheme="majorBidi"/>
          <w:sz w:val="22"/>
          <w:szCs w:val="22"/>
          <w:lang w:val="en-US"/>
        </w:rPr>
        <w:t>e</w:t>
      </w:r>
      <w:r w:rsidR="00F82121" w:rsidRPr="00BB211C">
        <w:rPr>
          <w:rFonts w:asciiTheme="majorBidi" w:hAnsiTheme="majorBidi" w:cstheme="majorBidi"/>
          <w:sz w:val="22"/>
          <w:szCs w:val="22"/>
        </w:rPr>
        <w:t xml:space="preserve">perti ditetapkan di dalam Pasal 4 ayat (4): cambuk, penjara, denda  dan restitusi. Di dalam perumusannya juga </w:t>
      </w:r>
      <w:r w:rsidR="005256DF" w:rsidRPr="00BB211C">
        <w:rPr>
          <w:rFonts w:asciiTheme="majorBidi" w:hAnsiTheme="majorBidi" w:cstheme="majorBidi"/>
          <w:sz w:val="22"/>
          <w:szCs w:val="22"/>
          <w:lang w:val="en-US"/>
        </w:rPr>
        <w:t xml:space="preserve">tidak </w:t>
      </w:r>
      <w:r w:rsidR="00F82121" w:rsidRPr="00BB211C">
        <w:rPr>
          <w:rFonts w:asciiTheme="majorBidi" w:hAnsiTheme="majorBidi" w:cstheme="majorBidi"/>
          <w:sz w:val="22"/>
          <w:szCs w:val="22"/>
        </w:rPr>
        <w:t>bersi</w:t>
      </w:r>
      <w:r w:rsidR="005256DF" w:rsidRPr="00BB211C">
        <w:rPr>
          <w:rFonts w:asciiTheme="majorBidi" w:hAnsiTheme="majorBidi" w:cstheme="majorBidi"/>
          <w:sz w:val="22"/>
          <w:szCs w:val="22"/>
          <w:lang w:val="en-US"/>
        </w:rPr>
        <w:t>f</w:t>
      </w:r>
      <w:r w:rsidR="00F82121" w:rsidRPr="00BB211C">
        <w:rPr>
          <w:rFonts w:asciiTheme="majorBidi" w:hAnsiTheme="majorBidi" w:cstheme="majorBidi"/>
          <w:sz w:val="22"/>
          <w:szCs w:val="22"/>
        </w:rPr>
        <w:t>at tunggal, kecuali hudud, akan tetapi bersifat alternatif dan alternatif komulatif</w:t>
      </w:r>
      <w:r w:rsidR="006D6D0D" w:rsidRPr="00BB211C">
        <w:rPr>
          <w:rFonts w:asciiTheme="majorBidi" w:hAnsiTheme="majorBidi" w:cstheme="majorBidi"/>
          <w:sz w:val="22"/>
          <w:szCs w:val="22"/>
          <w:lang w:val="en-US"/>
        </w:rPr>
        <w:t xml:space="preserve"> (dan/atau)</w:t>
      </w:r>
      <w:r w:rsidR="00F82121" w:rsidRPr="00BB211C">
        <w:rPr>
          <w:rFonts w:asciiTheme="majorBidi" w:hAnsiTheme="majorBidi" w:cstheme="majorBidi"/>
          <w:sz w:val="22"/>
          <w:szCs w:val="22"/>
        </w:rPr>
        <w:t xml:space="preserve">. </w:t>
      </w:r>
      <w:r w:rsidR="00503471" w:rsidRPr="00BB211C">
        <w:rPr>
          <w:rFonts w:asciiTheme="majorBidi" w:hAnsiTheme="majorBidi" w:cstheme="majorBidi"/>
          <w:sz w:val="22"/>
          <w:szCs w:val="22"/>
          <w:lang w:val="en-US"/>
        </w:rPr>
        <w:t>Contoh dari rumusan pidana di dalam qa</w:t>
      </w:r>
      <w:r w:rsidR="00436866" w:rsidRPr="00BB211C">
        <w:rPr>
          <w:rFonts w:asciiTheme="majorBidi" w:hAnsiTheme="majorBidi" w:cstheme="majorBidi"/>
          <w:sz w:val="22"/>
          <w:szCs w:val="22"/>
          <w:lang w:val="en-US"/>
        </w:rPr>
        <w:t>nun jinayat dapat dilihat pada P</w:t>
      </w:r>
      <w:r w:rsidR="00503471" w:rsidRPr="00BB211C">
        <w:rPr>
          <w:rFonts w:asciiTheme="majorBidi" w:hAnsiTheme="majorBidi" w:cstheme="majorBidi"/>
          <w:sz w:val="22"/>
          <w:szCs w:val="22"/>
          <w:lang w:val="en-US"/>
        </w:rPr>
        <w:t>asal  18 mengenai Maisir atau Judi “setiap o</w:t>
      </w:r>
      <w:r w:rsidR="00436866" w:rsidRPr="00BB211C">
        <w:rPr>
          <w:rFonts w:asciiTheme="majorBidi" w:hAnsiTheme="majorBidi" w:cstheme="majorBidi"/>
          <w:sz w:val="22"/>
          <w:szCs w:val="22"/>
        </w:rPr>
        <w:t>r</w:t>
      </w:r>
      <w:r w:rsidR="00503471" w:rsidRPr="00BB211C">
        <w:rPr>
          <w:rFonts w:asciiTheme="majorBidi" w:hAnsiTheme="majorBidi" w:cstheme="majorBidi"/>
          <w:sz w:val="22"/>
          <w:szCs w:val="22"/>
          <w:lang w:val="en-US"/>
        </w:rPr>
        <w:t xml:space="preserve">ang dengan sengaja melakukan jarimah </w:t>
      </w:r>
      <w:r w:rsidR="00E91ABB" w:rsidRPr="00BB211C">
        <w:rPr>
          <w:rFonts w:asciiTheme="majorBidi" w:hAnsiTheme="majorBidi" w:cstheme="majorBidi"/>
          <w:sz w:val="22"/>
          <w:szCs w:val="22"/>
          <w:lang w:val="en-US"/>
        </w:rPr>
        <w:t>Maisir dengan nilai taruhan dan/atau keuntungan paling banyak 2 (dua) gram emas murni, diancam dengan uqubat ta’zir cambuk paling banyak 12 (dua belas) kali atau denda paling banyak 120 (seratur dua puluh gram emas murniatau penjara paling lama 12 (dua belas ) bulan”.</w:t>
      </w:r>
    </w:p>
    <w:p w14:paraId="569BFD64" w14:textId="4F9B552C" w:rsidR="004F33F5" w:rsidRPr="00BB211C" w:rsidRDefault="00E91ABB" w:rsidP="00CC581D">
      <w:pPr>
        <w:spacing w:before="0" w:beforeAutospacing="0" w:after="0" w:afterAutospacing="0" w:line="240" w:lineRule="auto"/>
        <w:ind w:firstLine="720"/>
        <w:jc w:val="both"/>
        <w:rPr>
          <w:rFonts w:asciiTheme="majorBidi" w:hAnsiTheme="majorBidi" w:cstheme="majorBidi"/>
          <w:sz w:val="22"/>
          <w:szCs w:val="22"/>
          <w:lang w:val="en-US"/>
        </w:rPr>
      </w:pPr>
      <w:r w:rsidRPr="00BB211C">
        <w:rPr>
          <w:rFonts w:asciiTheme="majorBidi" w:hAnsiTheme="majorBidi" w:cstheme="majorBidi"/>
          <w:sz w:val="22"/>
          <w:szCs w:val="22"/>
          <w:lang w:val="en-US"/>
        </w:rPr>
        <w:t xml:space="preserve">Berdasarkan ketentuan </w:t>
      </w:r>
      <w:r w:rsidR="00CC581D" w:rsidRPr="00BB211C">
        <w:rPr>
          <w:rFonts w:asciiTheme="majorBidi" w:hAnsiTheme="majorBidi" w:cstheme="majorBidi"/>
          <w:sz w:val="22"/>
          <w:szCs w:val="22"/>
          <w:lang w:val="en-US"/>
        </w:rPr>
        <w:t>P</w:t>
      </w:r>
      <w:r w:rsidRPr="00BB211C">
        <w:rPr>
          <w:rFonts w:asciiTheme="majorBidi" w:hAnsiTheme="majorBidi" w:cstheme="majorBidi"/>
          <w:sz w:val="22"/>
          <w:szCs w:val="22"/>
          <w:lang w:val="en-US"/>
        </w:rPr>
        <w:t>asal 18 di atas</w:t>
      </w:r>
      <w:r w:rsidR="00CC581D" w:rsidRPr="00BB211C">
        <w:rPr>
          <w:rFonts w:asciiTheme="majorBidi" w:hAnsiTheme="majorBidi" w:cstheme="majorBidi"/>
          <w:sz w:val="22"/>
          <w:szCs w:val="22"/>
          <w:lang w:val="en-US"/>
        </w:rPr>
        <w:t>,</w:t>
      </w:r>
      <w:r w:rsidRPr="00BB211C">
        <w:rPr>
          <w:rFonts w:asciiTheme="majorBidi" w:hAnsiTheme="majorBidi" w:cstheme="majorBidi"/>
          <w:sz w:val="22"/>
          <w:szCs w:val="22"/>
          <w:lang w:val="en-US"/>
        </w:rPr>
        <w:t xml:space="preserve"> maka terdapat hukuman alternatif antara cambuk, denda dan penjara. Selain rumusan pidana yang bersifat alternatif, di dalam Qanun </w:t>
      </w:r>
      <w:r w:rsidR="00CC581D" w:rsidRPr="00BB211C">
        <w:rPr>
          <w:rFonts w:asciiTheme="majorBidi" w:hAnsiTheme="majorBidi" w:cstheme="majorBidi"/>
          <w:sz w:val="22"/>
          <w:szCs w:val="22"/>
          <w:lang w:val="en-US"/>
        </w:rPr>
        <w:t>J</w:t>
      </w:r>
      <w:r w:rsidRPr="00BB211C">
        <w:rPr>
          <w:rFonts w:asciiTheme="majorBidi" w:hAnsiTheme="majorBidi" w:cstheme="majorBidi"/>
          <w:sz w:val="22"/>
          <w:szCs w:val="22"/>
          <w:lang w:val="en-US"/>
        </w:rPr>
        <w:t xml:space="preserve">inayat juga terdapat rumusan  kumulatif alternatif (dan/atau). Artinya tidak ada yang bersifat tunggal, kecuali dalam hudud. Contoh hudud adalah minum khamar, yang pidananya adalah </w:t>
      </w:r>
      <w:r w:rsidR="00FA5D58" w:rsidRPr="00BB211C">
        <w:rPr>
          <w:rFonts w:asciiTheme="majorBidi" w:hAnsiTheme="majorBidi" w:cstheme="majorBidi"/>
          <w:sz w:val="22"/>
          <w:szCs w:val="22"/>
          <w:lang w:val="en-US"/>
        </w:rPr>
        <w:t xml:space="preserve">cambuk 40 (empat puluh) kali. </w:t>
      </w:r>
      <w:r w:rsidR="003101F6" w:rsidRPr="00BB211C">
        <w:rPr>
          <w:rFonts w:asciiTheme="majorBidi" w:hAnsiTheme="majorBidi" w:cstheme="majorBidi"/>
          <w:sz w:val="22"/>
          <w:szCs w:val="22"/>
        </w:rPr>
        <w:t>Dalam kasus di atas memang ada dikenakan hudud kepada non-muslim, yaitu pada Putusan 33/JN/2017/Ms.Bna meng</w:t>
      </w:r>
      <w:r w:rsidR="00BC3058" w:rsidRPr="00BB211C">
        <w:rPr>
          <w:rFonts w:asciiTheme="majorBidi" w:hAnsiTheme="majorBidi" w:cstheme="majorBidi"/>
          <w:sz w:val="22"/>
          <w:szCs w:val="22"/>
          <w:lang w:val="en-US"/>
        </w:rPr>
        <w:t>h</w:t>
      </w:r>
      <w:r w:rsidR="003101F6" w:rsidRPr="00BB211C">
        <w:rPr>
          <w:rFonts w:asciiTheme="majorBidi" w:hAnsiTheme="majorBidi" w:cstheme="majorBidi"/>
          <w:sz w:val="22"/>
          <w:szCs w:val="22"/>
        </w:rPr>
        <w:t xml:space="preserve">ukum dengan 40 kali cambuk dan itu memang tidak ada pilihan lain, karena meminum khamar. Akan tetapi di dalam putusan 1/JN/2016/Ms.Tkn dengan cambuk 28 kali dan putusan 10/JN/2018/Ms.Lsm  dengan cambuk   </w:t>
      </w:r>
      <w:r w:rsidR="00530F0C" w:rsidRPr="00BB211C">
        <w:rPr>
          <w:rFonts w:asciiTheme="majorBidi" w:hAnsiTheme="majorBidi" w:cstheme="majorBidi"/>
          <w:sz w:val="22"/>
          <w:szCs w:val="22"/>
        </w:rPr>
        <w:t>20 kali, maka dipastikan bukan hudud dan hukuma</w:t>
      </w:r>
      <w:r w:rsidR="00BC3058" w:rsidRPr="00BB211C">
        <w:rPr>
          <w:rFonts w:asciiTheme="majorBidi" w:hAnsiTheme="majorBidi" w:cstheme="majorBidi"/>
          <w:sz w:val="22"/>
          <w:szCs w:val="22"/>
        </w:rPr>
        <w:t>n</w:t>
      </w:r>
      <w:r w:rsidR="00530F0C" w:rsidRPr="00BB211C">
        <w:rPr>
          <w:rFonts w:asciiTheme="majorBidi" w:hAnsiTheme="majorBidi" w:cstheme="majorBidi"/>
          <w:sz w:val="22"/>
          <w:szCs w:val="22"/>
        </w:rPr>
        <w:t>nya bersifat alternatif dalam pengertian bukan cambuk satu-satunya.</w:t>
      </w:r>
      <w:r w:rsidR="003101F6" w:rsidRPr="00BB211C">
        <w:rPr>
          <w:rFonts w:asciiTheme="majorBidi" w:hAnsiTheme="majorBidi" w:cstheme="majorBidi"/>
          <w:sz w:val="22"/>
          <w:szCs w:val="22"/>
        </w:rPr>
        <w:t xml:space="preserve"> </w:t>
      </w:r>
      <w:r w:rsidR="00BC3058" w:rsidRPr="00BB211C">
        <w:rPr>
          <w:rFonts w:asciiTheme="majorBidi" w:hAnsiTheme="majorBidi" w:cstheme="majorBidi"/>
          <w:sz w:val="22"/>
          <w:szCs w:val="22"/>
          <w:lang w:val="en-US"/>
        </w:rPr>
        <w:t xml:space="preserve">Seperti ketentuan dalam pasal 16 ayat (2) </w:t>
      </w:r>
      <w:r w:rsidR="004F323C" w:rsidRPr="00BB211C">
        <w:rPr>
          <w:rFonts w:asciiTheme="majorBidi" w:hAnsiTheme="majorBidi" w:cstheme="majorBidi"/>
          <w:sz w:val="22"/>
          <w:szCs w:val="22"/>
          <w:lang w:val="en-US"/>
        </w:rPr>
        <w:t>“…</w:t>
      </w:r>
      <w:r w:rsidR="00BC3058" w:rsidRPr="00BB211C">
        <w:rPr>
          <w:rFonts w:asciiTheme="majorBidi" w:hAnsiTheme="majorBidi" w:cstheme="majorBidi"/>
          <w:sz w:val="22"/>
          <w:szCs w:val="22"/>
          <w:lang w:val="en-US"/>
        </w:rPr>
        <w:t>membeli</w:t>
      </w:r>
      <w:r w:rsidR="00BC3058" w:rsidRPr="00BB211C">
        <w:rPr>
          <w:rFonts w:asciiTheme="majorBidi" w:hAnsiTheme="majorBidi" w:cstheme="majorBidi"/>
          <w:sz w:val="22"/>
          <w:szCs w:val="22"/>
        </w:rPr>
        <w:t>,</w:t>
      </w:r>
      <w:r w:rsidR="00BC3058" w:rsidRPr="00BB211C">
        <w:rPr>
          <w:rFonts w:asciiTheme="majorBidi" w:hAnsiTheme="majorBidi" w:cstheme="majorBidi"/>
          <w:sz w:val="22"/>
          <w:szCs w:val="22"/>
          <w:lang w:val="en-US"/>
        </w:rPr>
        <w:t>membawa/ mengangkut atau menghadiahkan khamar…</w:t>
      </w:r>
      <w:r w:rsidR="004F323C" w:rsidRPr="00BB211C">
        <w:rPr>
          <w:rFonts w:asciiTheme="majorBidi" w:hAnsiTheme="majorBidi" w:cstheme="majorBidi"/>
          <w:sz w:val="22"/>
          <w:szCs w:val="22"/>
          <w:lang w:val="en-US"/>
        </w:rPr>
        <w:t xml:space="preserve"> diancam </w:t>
      </w:r>
      <w:r w:rsidR="00BC3058" w:rsidRPr="00BB211C">
        <w:rPr>
          <w:rFonts w:asciiTheme="majorBidi" w:hAnsiTheme="majorBidi" w:cstheme="majorBidi"/>
          <w:sz w:val="22"/>
          <w:szCs w:val="22"/>
        </w:rPr>
        <w:t>dengan ‘Uqubat Ta’zir cambuk paling banyak 20 (dua puluh) kali atau denda paling banyak 200 (dua ratus) gram emas murni atau penjara paling lama 20 (dua puluh) bulan</w:t>
      </w:r>
      <w:r w:rsidR="004F323C" w:rsidRPr="00BB211C">
        <w:rPr>
          <w:rFonts w:asciiTheme="majorBidi" w:hAnsiTheme="majorBidi" w:cstheme="majorBidi"/>
          <w:sz w:val="22"/>
          <w:szCs w:val="22"/>
          <w:lang w:val="en-US"/>
        </w:rPr>
        <w:t>”</w:t>
      </w:r>
      <w:r w:rsidR="00BC3058" w:rsidRPr="00BB211C">
        <w:rPr>
          <w:rFonts w:asciiTheme="majorBidi" w:hAnsiTheme="majorBidi" w:cstheme="majorBidi"/>
          <w:sz w:val="22"/>
          <w:szCs w:val="22"/>
        </w:rPr>
        <w:t>.</w:t>
      </w:r>
      <w:r w:rsidR="00EB72EA" w:rsidRPr="00BB211C">
        <w:rPr>
          <w:rFonts w:asciiTheme="majorBidi" w:hAnsiTheme="majorBidi" w:cstheme="majorBidi"/>
          <w:sz w:val="22"/>
          <w:szCs w:val="22"/>
          <w:lang w:val="en-US"/>
        </w:rPr>
        <w:t xml:space="preserve"> </w:t>
      </w:r>
      <w:r w:rsidR="004F33F5" w:rsidRPr="00BB211C">
        <w:rPr>
          <w:rFonts w:asciiTheme="majorBidi" w:hAnsiTheme="majorBidi" w:cstheme="majorBidi"/>
          <w:sz w:val="22"/>
          <w:szCs w:val="22"/>
          <w:lang w:val="en-US"/>
        </w:rPr>
        <w:t xml:space="preserve">Adapun mengenai hukuman restitusi, belum ada putusan yang menjatuhkan pidana terkait dengan adanya non-musliim yang seccara Bersama-sama melkukan dengan </w:t>
      </w:r>
      <w:r w:rsidR="00053E82" w:rsidRPr="00BB211C">
        <w:rPr>
          <w:rFonts w:asciiTheme="majorBidi" w:hAnsiTheme="majorBidi" w:cstheme="majorBidi"/>
          <w:sz w:val="22"/>
          <w:szCs w:val="22"/>
          <w:lang w:val="en-US"/>
        </w:rPr>
        <w:t>M</w:t>
      </w:r>
      <w:r w:rsidR="004F33F5" w:rsidRPr="00BB211C">
        <w:rPr>
          <w:rFonts w:asciiTheme="majorBidi" w:hAnsiTheme="majorBidi" w:cstheme="majorBidi"/>
          <w:sz w:val="22"/>
          <w:szCs w:val="22"/>
          <w:lang w:val="en-US"/>
        </w:rPr>
        <w:t>uslim, sehingga belum ada putusan yang menghukum dengan restitusi.</w:t>
      </w:r>
    </w:p>
    <w:p w14:paraId="07ABC613" w14:textId="690DBBCC" w:rsidR="00DD3F05" w:rsidRPr="00BB211C" w:rsidRDefault="00E91ABB" w:rsidP="00681363">
      <w:pPr>
        <w:spacing w:before="0" w:beforeAutospacing="0" w:after="0" w:afterAutospacing="0" w:line="240" w:lineRule="auto"/>
        <w:ind w:firstLine="720"/>
        <w:jc w:val="both"/>
        <w:rPr>
          <w:rFonts w:asciiTheme="majorBidi" w:hAnsiTheme="majorBidi" w:cstheme="majorBidi"/>
          <w:sz w:val="22"/>
          <w:szCs w:val="22"/>
          <w:lang w:val="en-US"/>
        </w:rPr>
      </w:pPr>
      <w:r w:rsidRPr="00BB211C">
        <w:rPr>
          <w:rFonts w:asciiTheme="majorBidi" w:hAnsiTheme="majorBidi" w:cstheme="majorBidi"/>
          <w:sz w:val="22"/>
          <w:szCs w:val="22"/>
          <w:lang w:val="en-US"/>
        </w:rPr>
        <w:t xml:space="preserve"> </w:t>
      </w:r>
    </w:p>
    <w:p w14:paraId="51B21499" w14:textId="724030D8" w:rsidR="00DD3F05" w:rsidRPr="00BB211C" w:rsidRDefault="00506A2F" w:rsidP="00BB211C">
      <w:pPr>
        <w:pStyle w:val="ListParagraph"/>
        <w:numPr>
          <w:ilvl w:val="1"/>
          <w:numId w:val="10"/>
        </w:numPr>
        <w:spacing w:before="0" w:beforeAutospacing="0" w:after="0" w:afterAutospacing="0" w:line="240" w:lineRule="auto"/>
        <w:ind w:left="426" w:hanging="426"/>
        <w:jc w:val="both"/>
        <w:rPr>
          <w:rFonts w:asciiTheme="majorBidi" w:hAnsiTheme="majorBidi" w:cstheme="majorBidi"/>
          <w:b/>
          <w:bCs/>
          <w:sz w:val="22"/>
          <w:szCs w:val="22"/>
          <w:lang w:val="en-US"/>
        </w:rPr>
      </w:pPr>
      <w:r w:rsidRPr="00BB211C">
        <w:rPr>
          <w:rFonts w:asciiTheme="majorBidi" w:hAnsiTheme="majorBidi" w:cstheme="majorBidi"/>
          <w:b/>
          <w:bCs/>
          <w:sz w:val="22"/>
          <w:szCs w:val="22"/>
          <w:lang w:val="en-US"/>
        </w:rPr>
        <w:lastRenderedPageBreak/>
        <w:t xml:space="preserve">Penundukan </w:t>
      </w:r>
      <w:r w:rsidR="000801D3" w:rsidRPr="00BB211C">
        <w:rPr>
          <w:rFonts w:asciiTheme="majorBidi" w:hAnsiTheme="majorBidi" w:cstheme="majorBidi"/>
          <w:b/>
          <w:bCs/>
          <w:sz w:val="22"/>
          <w:szCs w:val="22"/>
          <w:lang w:val="en-US"/>
        </w:rPr>
        <w:t>D</w:t>
      </w:r>
      <w:r w:rsidRPr="00BB211C">
        <w:rPr>
          <w:rFonts w:asciiTheme="majorBidi" w:hAnsiTheme="majorBidi" w:cstheme="majorBidi"/>
          <w:b/>
          <w:bCs/>
          <w:sz w:val="22"/>
          <w:szCs w:val="22"/>
        </w:rPr>
        <w:t xml:space="preserve">iri </w:t>
      </w:r>
      <w:r w:rsidRPr="00BB211C">
        <w:rPr>
          <w:rFonts w:asciiTheme="majorBidi" w:hAnsiTheme="majorBidi" w:cstheme="majorBidi"/>
          <w:b/>
          <w:bCs/>
          <w:sz w:val="22"/>
          <w:szCs w:val="22"/>
          <w:lang w:val="en-US"/>
        </w:rPr>
        <w:t>dalam</w:t>
      </w:r>
      <w:r w:rsidR="000801D3" w:rsidRPr="00BB211C">
        <w:rPr>
          <w:rFonts w:asciiTheme="majorBidi" w:hAnsiTheme="majorBidi" w:cstheme="majorBidi"/>
          <w:b/>
          <w:bCs/>
          <w:sz w:val="22"/>
          <w:szCs w:val="22"/>
        </w:rPr>
        <w:t xml:space="preserve"> </w:t>
      </w:r>
      <w:r w:rsidR="000801D3" w:rsidRPr="00BB211C">
        <w:rPr>
          <w:rFonts w:asciiTheme="majorBidi" w:hAnsiTheme="majorBidi" w:cstheme="majorBidi"/>
          <w:b/>
          <w:bCs/>
          <w:sz w:val="22"/>
          <w:szCs w:val="22"/>
          <w:lang w:val="en-US"/>
        </w:rPr>
        <w:t>P</w:t>
      </w:r>
      <w:r w:rsidR="000801D3" w:rsidRPr="00BB211C">
        <w:rPr>
          <w:rFonts w:asciiTheme="majorBidi" w:hAnsiTheme="majorBidi" w:cstheme="majorBidi"/>
          <w:b/>
          <w:bCs/>
          <w:sz w:val="22"/>
          <w:szCs w:val="22"/>
        </w:rPr>
        <w:t xml:space="preserve">erspektif </w:t>
      </w:r>
      <w:r w:rsidRPr="00BB211C">
        <w:rPr>
          <w:rFonts w:asciiTheme="majorBidi" w:hAnsiTheme="majorBidi" w:cstheme="majorBidi"/>
          <w:b/>
          <w:bCs/>
          <w:sz w:val="22"/>
          <w:szCs w:val="22"/>
        </w:rPr>
        <w:t>Politik Hukum</w:t>
      </w:r>
    </w:p>
    <w:p w14:paraId="6CBC6F64" w14:textId="373C3D45" w:rsidR="00DE13B6" w:rsidRPr="00BB211C" w:rsidRDefault="00DE13B6" w:rsidP="00DE13B6">
      <w:pPr>
        <w:spacing w:before="0" w:beforeAutospacing="0" w:after="0" w:afterAutospacing="0"/>
        <w:ind w:firstLine="567"/>
        <w:jc w:val="both"/>
        <w:rPr>
          <w:rFonts w:asciiTheme="majorBidi" w:hAnsiTheme="majorBidi" w:cstheme="majorBidi"/>
          <w:sz w:val="22"/>
          <w:szCs w:val="22"/>
        </w:rPr>
      </w:pPr>
      <w:r w:rsidRPr="00BB211C">
        <w:rPr>
          <w:rFonts w:asciiTheme="majorBidi" w:hAnsiTheme="majorBidi" w:cstheme="majorBidi"/>
          <w:sz w:val="22"/>
          <w:szCs w:val="22"/>
        </w:rPr>
        <w:t>Istilah “politik hukum” merupakan terjemahan bahasa Belanda “</w:t>
      </w:r>
      <w:r w:rsidRPr="00BB211C">
        <w:rPr>
          <w:rFonts w:asciiTheme="majorBidi" w:hAnsiTheme="majorBidi" w:cstheme="majorBidi"/>
          <w:i/>
          <w:sz w:val="22"/>
          <w:szCs w:val="22"/>
        </w:rPr>
        <w:t xml:space="preserve">rechtspolitiek” </w:t>
      </w:r>
      <w:r w:rsidR="00712ED2">
        <w:rPr>
          <w:rStyle w:val="FootnoteReference"/>
          <w:rFonts w:asciiTheme="majorBidi" w:hAnsiTheme="majorBidi" w:cstheme="majorBidi"/>
          <w:sz w:val="22"/>
          <w:szCs w:val="22"/>
        </w:rPr>
        <w:footnoteReference w:id="7"/>
      </w:r>
      <w:r w:rsidRPr="00BB211C">
        <w:rPr>
          <w:rFonts w:asciiTheme="majorBidi" w:hAnsiTheme="majorBidi" w:cstheme="majorBidi"/>
          <w:sz w:val="22"/>
          <w:szCs w:val="22"/>
        </w:rPr>
        <w:t xml:space="preserve">. Sebagian ahli menggunakan istilah “kebijakan hukum” </w:t>
      </w:r>
      <w:r w:rsidRPr="00BB211C">
        <w:rPr>
          <w:rFonts w:asciiTheme="majorBidi" w:hAnsiTheme="majorBidi" w:cstheme="majorBidi"/>
          <w:i/>
          <w:iCs/>
          <w:sz w:val="22"/>
          <w:szCs w:val="22"/>
        </w:rPr>
        <w:t>(legal policy)</w:t>
      </w:r>
      <w:r w:rsidRPr="00BB211C">
        <w:rPr>
          <w:rFonts w:asciiTheme="majorBidi" w:hAnsiTheme="majorBidi" w:cstheme="majorBidi"/>
          <w:sz w:val="22"/>
          <w:szCs w:val="22"/>
        </w:rPr>
        <w:t xml:space="preserve"> </w:t>
      </w:r>
      <w:r w:rsidR="00712ED2">
        <w:rPr>
          <w:rStyle w:val="FootnoteReference"/>
          <w:rFonts w:asciiTheme="majorBidi" w:hAnsiTheme="majorBidi" w:cstheme="majorBidi"/>
          <w:sz w:val="22"/>
          <w:szCs w:val="22"/>
        </w:rPr>
        <w:footnoteReference w:id="8"/>
      </w:r>
      <w:r w:rsidRPr="00BB211C">
        <w:rPr>
          <w:rFonts w:asciiTheme="majorBidi" w:hAnsiTheme="majorBidi" w:cstheme="majorBidi"/>
          <w:sz w:val="22"/>
          <w:szCs w:val="22"/>
        </w:rPr>
        <w:t xml:space="preserve"> atau “kebijakan penegakan hukum” </w:t>
      </w:r>
      <w:r w:rsidRPr="00BB211C">
        <w:rPr>
          <w:rFonts w:asciiTheme="majorBidi" w:hAnsiTheme="majorBidi" w:cstheme="majorBidi"/>
          <w:i/>
          <w:iCs/>
          <w:sz w:val="22"/>
          <w:szCs w:val="22"/>
        </w:rPr>
        <w:t xml:space="preserve">(law enforcement policy) </w:t>
      </w:r>
      <w:r w:rsidRPr="00BB211C">
        <w:rPr>
          <w:rFonts w:asciiTheme="majorBidi" w:hAnsiTheme="majorBidi" w:cstheme="majorBidi"/>
          <w:sz w:val="22"/>
          <w:szCs w:val="22"/>
        </w:rPr>
        <w:t xml:space="preserve">dan kebijakan perundang-undangan </w:t>
      </w:r>
      <w:r w:rsidRPr="00BB211C">
        <w:rPr>
          <w:rFonts w:asciiTheme="majorBidi" w:hAnsiTheme="majorBidi" w:cstheme="majorBidi"/>
          <w:i/>
          <w:iCs/>
          <w:sz w:val="22"/>
          <w:szCs w:val="22"/>
        </w:rPr>
        <w:t>(legislative policy)</w:t>
      </w:r>
      <w:r w:rsidRPr="00BB211C">
        <w:rPr>
          <w:rFonts w:asciiTheme="majorBidi" w:hAnsiTheme="majorBidi" w:cstheme="majorBidi"/>
          <w:sz w:val="22"/>
          <w:szCs w:val="22"/>
        </w:rPr>
        <w:t xml:space="preserve"> </w:t>
      </w:r>
      <w:r w:rsidR="00712ED2">
        <w:rPr>
          <w:rStyle w:val="FootnoteReference"/>
          <w:rFonts w:asciiTheme="majorBidi" w:hAnsiTheme="majorBidi" w:cstheme="majorBidi"/>
          <w:i/>
          <w:iCs/>
          <w:sz w:val="22"/>
          <w:szCs w:val="22"/>
        </w:rPr>
        <w:footnoteReference w:id="9"/>
      </w:r>
      <w:r w:rsidRPr="00BB211C">
        <w:rPr>
          <w:rFonts w:asciiTheme="majorBidi" w:hAnsiTheme="majorBidi" w:cstheme="majorBidi"/>
          <w:sz w:val="22"/>
          <w:szCs w:val="22"/>
        </w:rPr>
        <w:t>. Istilah “kebijakan” diambil dari istilah Inggris yaitu “</w:t>
      </w:r>
      <w:r w:rsidRPr="00BB211C">
        <w:rPr>
          <w:rFonts w:asciiTheme="majorBidi" w:hAnsiTheme="majorBidi" w:cstheme="majorBidi"/>
          <w:i/>
          <w:sz w:val="22"/>
          <w:szCs w:val="22"/>
        </w:rPr>
        <w:t>policy</w:t>
      </w:r>
      <w:r w:rsidRPr="00BB211C">
        <w:rPr>
          <w:rFonts w:asciiTheme="majorBidi" w:hAnsiTheme="majorBidi" w:cstheme="majorBidi"/>
          <w:sz w:val="22"/>
          <w:szCs w:val="22"/>
        </w:rPr>
        <w:t>” atau istilah Belanda yaitu “</w:t>
      </w:r>
      <w:r w:rsidRPr="00BB211C">
        <w:rPr>
          <w:rFonts w:asciiTheme="majorBidi" w:hAnsiTheme="majorBidi" w:cstheme="majorBidi"/>
          <w:i/>
          <w:sz w:val="22"/>
          <w:szCs w:val="22"/>
        </w:rPr>
        <w:t>politiek</w:t>
      </w:r>
      <w:r w:rsidRPr="00BB211C">
        <w:rPr>
          <w:rFonts w:asciiTheme="majorBidi" w:hAnsiTheme="majorBidi" w:cstheme="majorBidi"/>
          <w:sz w:val="22"/>
          <w:szCs w:val="22"/>
        </w:rPr>
        <w:t xml:space="preserve">” </w:t>
      </w:r>
      <w:r w:rsidR="00712ED2">
        <w:rPr>
          <w:rStyle w:val="FootnoteReference"/>
          <w:rFonts w:asciiTheme="majorBidi" w:hAnsiTheme="majorBidi" w:cstheme="majorBidi"/>
          <w:sz w:val="22"/>
          <w:szCs w:val="22"/>
        </w:rPr>
        <w:footnoteReference w:id="10"/>
      </w:r>
      <w:r w:rsidRPr="00BB211C">
        <w:rPr>
          <w:rFonts w:asciiTheme="majorBidi" w:hAnsiTheme="majorBidi" w:cstheme="majorBidi"/>
          <w:sz w:val="22"/>
          <w:szCs w:val="22"/>
        </w:rPr>
        <w:t xml:space="preserve"> yang bermakna kebijakan dasar yang menentukan arah, bentuk, maupun isi dari hukum yang akan dibentuk </w:t>
      </w:r>
      <w:r w:rsidR="00712ED2">
        <w:rPr>
          <w:rStyle w:val="FootnoteReference"/>
          <w:rFonts w:asciiTheme="majorBidi" w:hAnsiTheme="majorBidi" w:cstheme="majorBidi"/>
          <w:sz w:val="22"/>
          <w:szCs w:val="22"/>
        </w:rPr>
        <w:footnoteReference w:id="11"/>
      </w:r>
      <w:r w:rsidRPr="00BB211C">
        <w:rPr>
          <w:rFonts w:asciiTheme="majorBidi" w:hAnsiTheme="majorBidi" w:cstheme="majorBidi"/>
          <w:sz w:val="22"/>
          <w:szCs w:val="22"/>
        </w:rPr>
        <w:t xml:space="preserve">.  Sudarto (1981) menyatakan bahwa politik hukum atau kebijakan hukum adalah usaha untuk mewujudkan peraturan-peraturan yang baik sesuai dengan keadaan dan situasi tertentu pada waktu tertentu. Atau kebijakan dari badan-badan yang berwenang untuk menetapkan peraturan tertentu yang diperkirakan dapat digunakan untuk mencapai hal yang dicita-citakan </w:t>
      </w:r>
      <w:r w:rsidR="00712ED2">
        <w:rPr>
          <w:rStyle w:val="FootnoteReference"/>
          <w:rFonts w:asciiTheme="majorBidi" w:hAnsiTheme="majorBidi" w:cstheme="majorBidi"/>
          <w:sz w:val="22"/>
          <w:szCs w:val="22"/>
        </w:rPr>
        <w:footnoteReference w:id="12"/>
      </w:r>
      <w:r w:rsidRPr="00BB211C">
        <w:rPr>
          <w:rFonts w:asciiTheme="majorBidi" w:hAnsiTheme="majorBidi" w:cstheme="majorBidi"/>
          <w:sz w:val="22"/>
          <w:szCs w:val="22"/>
        </w:rPr>
        <w:t xml:space="preserve"> Dalam bidang pidana, politik hukum dikenal dengan istilah lain yaitu kebijakan kriminal </w:t>
      </w:r>
      <w:r w:rsidRPr="00BB211C">
        <w:rPr>
          <w:rFonts w:asciiTheme="majorBidi" w:hAnsiTheme="majorBidi" w:cstheme="majorBidi"/>
          <w:i/>
          <w:iCs/>
          <w:sz w:val="22"/>
          <w:szCs w:val="22"/>
        </w:rPr>
        <w:t>(</w:t>
      </w:r>
      <w:r w:rsidRPr="00BB211C">
        <w:rPr>
          <w:rFonts w:asciiTheme="majorBidi" w:hAnsiTheme="majorBidi" w:cstheme="majorBidi"/>
          <w:i/>
          <w:sz w:val="22"/>
          <w:szCs w:val="22"/>
        </w:rPr>
        <w:t xml:space="preserve">penal policy), </w:t>
      </w:r>
      <w:r w:rsidRPr="00BB211C">
        <w:rPr>
          <w:rFonts w:asciiTheme="majorBidi" w:hAnsiTheme="majorBidi" w:cstheme="majorBidi"/>
          <w:sz w:val="22"/>
          <w:szCs w:val="22"/>
        </w:rPr>
        <w:t xml:space="preserve">politik kriminal </w:t>
      </w:r>
      <w:r w:rsidRPr="00BB211C">
        <w:rPr>
          <w:rFonts w:asciiTheme="majorBidi" w:hAnsiTheme="majorBidi" w:cstheme="majorBidi"/>
          <w:i/>
          <w:iCs/>
          <w:sz w:val="22"/>
          <w:szCs w:val="22"/>
        </w:rPr>
        <w:t>criminal law politic</w:t>
      </w:r>
      <w:r w:rsidRPr="00BB211C">
        <w:rPr>
          <w:rFonts w:asciiTheme="majorBidi" w:hAnsiTheme="majorBidi" w:cstheme="majorBidi"/>
          <w:sz w:val="22"/>
          <w:szCs w:val="22"/>
        </w:rPr>
        <w:t xml:space="preserve"> </w:t>
      </w:r>
      <w:r w:rsidR="00712ED2">
        <w:rPr>
          <w:rStyle w:val="FootnoteReference"/>
          <w:rFonts w:asciiTheme="majorBidi" w:hAnsiTheme="majorBidi" w:cstheme="majorBidi"/>
          <w:sz w:val="22"/>
          <w:szCs w:val="22"/>
        </w:rPr>
        <w:footnoteReference w:id="13"/>
      </w:r>
      <w:r w:rsidRPr="00BB211C">
        <w:rPr>
          <w:rFonts w:asciiTheme="majorBidi" w:hAnsiTheme="majorBidi" w:cstheme="majorBidi"/>
          <w:sz w:val="22"/>
          <w:szCs w:val="22"/>
        </w:rPr>
        <w:t xml:space="preserve">, dan kebijakan legislatif pidana. Karena itu, istilah “kebijakan hukum pidana” semakna dengan “politik hukum pidana” </w:t>
      </w:r>
      <w:r w:rsidRPr="00BB211C">
        <w:rPr>
          <w:rFonts w:asciiTheme="majorBidi" w:hAnsiTheme="majorBidi" w:cstheme="majorBidi"/>
          <w:i/>
          <w:iCs/>
          <w:sz w:val="22"/>
          <w:szCs w:val="22"/>
        </w:rPr>
        <w:t>(</w:t>
      </w:r>
      <w:r w:rsidRPr="00BB211C">
        <w:rPr>
          <w:rFonts w:asciiTheme="majorBidi" w:hAnsiTheme="majorBidi" w:cstheme="majorBidi"/>
          <w:i/>
          <w:sz w:val="22"/>
          <w:szCs w:val="22"/>
        </w:rPr>
        <w:t>penal policy</w:t>
      </w:r>
      <w:r w:rsidRPr="00BB211C">
        <w:rPr>
          <w:rFonts w:asciiTheme="majorBidi" w:hAnsiTheme="majorBidi" w:cstheme="majorBidi"/>
          <w:sz w:val="22"/>
          <w:szCs w:val="22"/>
        </w:rPr>
        <w:t xml:space="preserve">, </w:t>
      </w:r>
      <w:r w:rsidRPr="00BB211C">
        <w:rPr>
          <w:rFonts w:asciiTheme="majorBidi" w:hAnsiTheme="majorBidi" w:cstheme="majorBidi"/>
          <w:i/>
          <w:sz w:val="22"/>
          <w:szCs w:val="22"/>
        </w:rPr>
        <w:t xml:space="preserve">criminal law </w:t>
      </w:r>
      <w:r w:rsidRPr="00BB211C">
        <w:rPr>
          <w:rFonts w:asciiTheme="majorBidi" w:hAnsiTheme="majorBidi" w:cstheme="majorBidi"/>
          <w:sz w:val="22"/>
          <w:szCs w:val="22"/>
        </w:rPr>
        <w:t xml:space="preserve">atau </w:t>
      </w:r>
      <w:r w:rsidRPr="00BB211C">
        <w:rPr>
          <w:rFonts w:asciiTheme="majorBidi" w:hAnsiTheme="majorBidi" w:cstheme="majorBidi"/>
          <w:i/>
          <w:sz w:val="22"/>
          <w:szCs w:val="22"/>
        </w:rPr>
        <w:t>strafrechts politiek)</w:t>
      </w:r>
      <w:r w:rsidRPr="00BB211C">
        <w:rPr>
          <w:rFonts w:asciiTheme="majorBidi" w:hAnsiTheme="majorBidi" w:cstheme="majorBidi"/>
          <w:sz w:val="22"/>
          <w:szCs w:val="22"/>
        </w:rPr>
        <w:t xml:space="preserve"> </w:t>
      </w:r>
      <w:r w:rsidR="00712ED2">
        <w:rPr>
          <w:rStyle w:val="FootnoteReference"/>
          <w:rFonts w:asciiTheme="majorBidi" w:hAnsiTheme="majorBidi" w:cstheme="majorBidi"/>
          <w:sz w:val="22"/>
          <w:szCs w:val="22"/>
        </w:rPr>
        <w:footnoteReference w:id="14"/>
      </w:r>
      <w:r w:rsidRPr="00BB211C">
        <w:rPr>
          <w:rFonts w:asciiTheme="majorBidi" w:hAnsiTheme="majorBidi" w:cstheme="majorBidi"/>
          <w:sz w:val="22"/>
          <w:szCs w:val="22"/>
        </w:rPr>
        <w:t xml:space="preserve">. Kebijakan hukum merupakan bagian integral dari  kebijakan sosial </w:t>
      </w:r>
      <w:r w:rsidRPr="00BB211C">
        <w:rPr>
          <w:rFonts w:asciiTheme="majorBidi" w:hAnsiTheme="majorBidi" w:cstheme="majorBidi"/>
          <w:i/>
          <w:iCs/>
          <w:sz w:val="22"/>
          <w:szCs w:val="22"/>
        </w:rPr>
        <w:t xml:space="preserve">(social policy) </w:t>
      </w:r>
      <w:r w:rsidR="00712ED2">
        <w:rPr>
          <w:rStyle w:val="FootnoteReference"/>
          <w:rFonts w:asciiTheme="majorBidi" w:hAnsiTheme="majorBidi" w:cstheme="majorBidi"/>
          <w:i/>
          <w:iCs/>
          <w:sz w:val="22"/>
          <w:szCs w:val="22"/>
        </w:rPr>
        <w:footnoteReference w:id="15"/>
      </w:r>
      <w:r w:rsidRPr="00BB211C">
        <w:rPr>
          <w:rFonts w:asciiTheme="majorBidi" w:hAnsiTheme="majorBidi" w:cstheme="majorBidi"/>
          <w:i/>
          <w:iCs/>
          <w:sz w:val="22"/>
          <w:szCs w:val="22"/>
        </w:rPr>
        <w:t xml:space="preserve">. </w:t>
      </w:r>
      <w:r w:rsidRPr="00BB211C">
        <w:rPr>
          <w:rFonts w:asciiTheme="majorBidi" w:hAnsiTheme="majorBidi" w:cstheme="majorBidi"/>
          <w:sz w:val="22"/>
          <w:szCs w:val="22"/>
        </w:rPr>
        <w:t xml:space="preserve"> Kebijakan sosial merupakan segala usaha yang rasional untuk mencapai kesejahteraan dan perlindungan masyarakat. Jadi dalam </w:t>
      </w:r>
      <w:r w:rsidRPr="00BB211C">
        <w:rPr>
          <w:rFonts w:asciiTheme="majorBidi" w:hAnsiTheme="majorBidi" w:cstheme="majorBidi"/>
          <w:i/>
          <w:iCs/>
          <w:sz w:val="22"/>
          <w:szCs w:val="22"/>
        </w:rPr>
        <w:t xml:space="preserve">social policy </w:t>
      </w:r>
      <w:r w:rsidRPr="00BB211C">
        <w:rPr>
          <w:rFonts w:asciiTheme="majorBidi" w:hAnsiTheme="majorBidi" w:cstheme="majorBidi"/>
          <w:sz w:val="22"/>
          <w:szCs w:val="22"/>
        </w:rPr>
        <w:t xml:space="preserve">sekaligus tercakup di dalamnya </w:t>
      </w:r>
      <w:r w:rsidRPr="00BB211C">
        <w:rPr>
          <w:rFonts w:asciiTheme="majorBidi" w:hAnsiTheme="majorBidi" w:cstheme="majorBidi"/>
          <w:i/>
          <w:iCs/>
          <w:sz w:val="22"/>
          <w:szCs w:val="22"/>
        </w:rPr>
        <w:t xml:space="preserve">social welfare </w:t>
      </w:r>
      <w:r w:rsidRPr="00BB211C">
        <w:rPr>
          <w:rFonts w:asciiTheme="majorBidi" w:hAnsiTheme="majorBidi" w:cstheme="majorBidi"/>
          <w:sz w:val="22"/>
          <w:szCs w:val="22"/>
        </w:rPr>
        <w:t xml:space="preserve">dan </w:t>
      </w:r>
      <w:r w:rsidRPr="00BB211C">
        <w:rPr>
          <w:rFonts w:asciiTheme="majorBidi" w:hAnsiTheme="majorBidi" w:cstheme="majorBidi"/>
          <w:i/>
          <w:iCs/>
          <w:sz w:val="22"/>
          <w:szCs w:val="22"/>
        </w:rPr>
        <w:t xml:space="preserve">social defence policy </w:t>
      </w:r>
      <w:r w:rsidR="00712ED2">
        <w:rPr>
          <w:rStyle w:val="FootnoteReference"/>
          <w:rFonts w:asciiTheme="majorBidi" w:hAnsiTheme="majorBidi" w:cstheme="majorBidi"/>
          <w:i/>
          <w:iCs/>
          <w:sz w:val="22"/>
          <w:szCs w:val="22"/>
        </w:rPr>
        <w:footnoteReference w:id="16"/>
      </w:r>
      <w:r w:rsidRPr="00BB211C">
        <w:rPr>
          <w:rFonts w:asciiTheme="majorBidi" w:hAnsiTheme="majorBidi" w:cstheme="majorBidi"/>
          <w:i/>
          <w:iCs/>
          <w:sz w:val="22"/>
          <w:szCs w:val="22"/>
        </w:rPr>
        <w:t xml:space="preserve">. </w:t>
      </w:r>
      <w:r w:rsidRPr="00BB211C">
        <w:rPr>
          <w:rFonts w:asciiTheme="majorBidi" w:hAnsiTheme="majorBidi" w:cstheme="majorBidi"/>
          <w:sz w:val="22"/>
          <w:szCs w:val="22"/>
        </w:rPr>
        <w:t xml:space="preserve">Artinya, tujuan politik hukum adalah untuk mewujudkan </w:t>
      </w:r>
      <w:r w:rsidRPr="00BB211C">
        <w:rPr>
          <w:rFonts w:asciiTheme="majorBidi" w:hAnsiTheme="majorBidi" w:cstheme="majorBidi"/>
          <w:i/>
          <w:iCs/>
          <w:sz w:val="22"/>
          <w:szCs w:val="22"/>
        </w:rPr>
        <w:t xml:space="preserve">social welfare </w:t>
      </w:r>
      <w:r w:rsidRPr="00BB211C">
        <w:rPr>
          <w:rFonts w:asciiTheme="majorBidi" w:hAnsiTheme="majorBidi" w:cstheme="majorBidi"/>
          <w:sz w:val="22"/>
          <w:szCs w:val="22"/>
        </w:rPr>
        <w:t xml:space="preserve">dan </w:t>
      </w:r>
      <w:r w:rsidRPr="00BB211C">
        <w:rPr>
          <w:rFonts w:asciiTheme="majorBidi" w:hAnsiTheme="majorBidi" w:cstheme="majorBidi"/>
          <w:i/>
          <w:iCs/>
          <w:sz w:val="22"/>
          <w:szCs w:val="22"/>
        </w:rPr>
        <w:t>social defence policy.</w:t>
      </w:r>
    </w:p>
    <w:p w14:paraId="240700F2" w14:textId="557E7FD3" w:rsidR="00DE13B6" w:rsidRPr="00BB211C" w:rsidRDefault="00DE13B6" w:rsidP="00DE13B6">
      <w:pPr>
        <w:spacing w:before="0" w:beforeAutospacing="0" w:after="0" w:afterAutospacing="0"/>
        <w:ind w:firstLine="567"/>
        <w:jc w:val="both"/>
        <w:rPr>
          <w:rFonts w:asciiTheme="majorBidi" w:hAnsiTheme="majorBidi" w:cstheme="majorBidi"/>
          <w:sz w:val="22"/>
          <w:szCs w:val="22"/>
        </w:rPr>
      </w:pPr>
      <w:r w:rsidRPr="00BB211C">
        <w:rPr>
          <w:rFonts w:asciiTheme="majorBidi" w:hAnsiTheme="majorBidi" w:cstheme="majorBidi"/>
          <w:sz w:val="22"/>
          <w:szCs w:val="22"/>
        </w:rPr>
        <w:t>Politik hukum pada prinsipnya adalah kebijakan negara mengenai hukum yang dicita-citakan (</w:t>
      </w:r>
      <w:r w:rsidRPr="00BB211C">
        <w:rPr>
          <w:rFonts w:asciiTheme="majorBidi" w:hAnsiTheme="majorBidi" w:cstheme="majorBidi"/>
          <w:i/>
          <w:sz w:val="22"/>
          <w:szCs w:val="22"/>
        </w:rPr>
        <w:t>ius constuendum</w:t>
      </w:r>
      <w:r w:rsidRPr="00BB211C">
        <w:rPr>
          <w:rFonts w:asciiTheme="majorBidi" w:hAnsiTheme="majorBidi" w:cstheme="majorBidi"/>
          <w:sz w:val="22"/>
          <w:szCs w:val="22"/>
        </w:rPr>
        <w:t>) dan hukum yang ada pada saat ini (</w:t>
      </w:r>
      <w:r w:rsidRPr="00BB211C">
        <w:rPr>
          <w:rFonts w:asciiTheme="majorBidi" w:hAnsiTheme="majorBidi" w:cstheme="majorBidi"/>
          <w:i/>
          <w:sz w:val="22"/>
          <w:szCs w:val="22"/>
        </w:rPr>
        <w:t>ius constutum</w:t>
      </w:r>
      <w:r w:rsidRPr="00BB211C">
        <w:rPr>
          <w:rFonts w:asciiTheme="majorBidi" w:hAnsiTheme="majorBidi" w:cstheme="majorBidi"/>
          <w:sz w:val="22"/>
          <w:szCs w:val="22"/>
        </w:rPr>
        <w:t xml:space="preserve">) </w:t>
      </w:r>
      <w:r w:rsidR="00712ED2">
        <w:rPr>
          <w:rStyle w:val="FootnoteReference"/>
          <w:rFonts w:asciiTheme="majorBidi" w:hAnsiTheme="majorBidi" w:cstheme="majorBidi"/>
          <w:sz w:val="22"/>
          <w:szCs w:val="22"/>
        </w:rPr>
        <w:footnoteReference w:id="17"/>
      </w:r>
      <w:r w:rsidRPr="00BB211C">
        <w:rPr>
          <w:rFonts w:asciiTheme="majorBidi" w:hAnsiTheme="majorBidi" w:cstheme="majorBidi"/>
          <w:sz w:val="22"/>
          <w:szCs w:val="22"/>
        </w:rPr>
        <w:t xml:space="preserve">. Kata “kebijakan” </w:t>
      </w:r>
      <w:r w:rsidR="00490A10" w:rsidRPr="00BB211C">
        <w:rPr>
          <w:rFonts w:asciiTheme="majorBidi" w:hAnsiTheme="majorBidi" w:cstheme="majorBidi"/>
          <w:sz w:val="22"/>
          <w:szCs w:val="22"/>
        </w:rPr>
        <w:t>itu</w:t>
      </w:r>
      <w:r w:rsidRPr="00BB211C">
        <w:rPr>
          <w:rFonts w:asciiTheme="majorBidi" w:hAnsiTheme="majorBidi" w:cstheme="majorBidi"/>
          <w:sz w:val="22"/>
          <w:szCs w:val="22"/>
        </w:rPr>
        <w:t xml:space="preserve"> </w:t>
      </w:r>
      <w:r w:rsidR="00490A10" w:rsidRPr="00BB211C">
        <w:rPr>
          <w:rFonts w:asciiTheme="majorBidi" w:hAnsiTheme="majorBidi" w:cstheme="majorBidi"/>
          <w:sz w:val="22"/>
          <w:szCs w:val="22"/>
        </w:rPr>
        <w:t xml:space="preserve"> terkait  dengan </w:t>
      </w:r>
      <w:r w:rsidRPr="00BB211C">
        <w:rPr>
          <w:rFonts w:asciiTheme="majorBidi" w:hAnsiTheme="majorBidi" w:cstheme="majorBidi"/>
          <w:sz w:val="22"/>
          <w:szCs w:val="22"/>
        </w:rPr>
        <w:t xml:space="preserve"> dengan keharusan adanya “strategi yang sistematis,</w:t>
      </w:r>
      <w:r w:rsidR="00490A10" w:rsidRPr="00BB211C">
        <w:rPr>
          <w:rFonts w:asciiTheme="majorBidi" w:hAnsiTheme="majorBidi" w:cstheme="majorBidi"/>
          <w:sz w:val="22"/>
          <w:szCs w:val="22"/>
        </w:rPr>
        <w:t>terperinci</w:t>
      </w:r>
      <w:r w:rsidRPr="00BB211C">
        <w:rPr>
          <w:rFonts w:asciiTheme="majorBidi" w:hAnsiTheme="majorBidi" w:cstheme="majorBidi"/>
          <w:sz w:val="22"/>
          <w:szCs w:val="22"/>
        </w:rPr>
        <w:t xml:space="preserve"> </w:t>
      </w:r>
      <w:r w:rsidR="00490A10" w:rsidRPr="00BB211C">
        <w:rPr>
          <w:rFonts w:asciiTheme="majorBidi" w:hAnsiTheme="majorBidi" w:cstheme="majorBidi"/>
          <w:sz w:val="22"/>
          <w:szCs w:val="22"/>
        </w:rPr>
        <w:t xml:space="preserve"> dan mendasar. </w:t>
      </w:r>
      <w:r w:rsidR="004C7DCC" w:rsidRPr="00BB211C">
        <w:rPr>
          <w:rFonts w:asciiTheme="majorBidi" w:hAnsiTheme="majorBidi" w:cstheme="majorBidi"/>
          <w:sz w:val="22"/>
          <w:szCs w:val="22"/>
        </w:rPr>
        <w:t xml:space="preserve">perumusan dan penetapan hukum, baik yang telah maupun yang akan dilakukan , maka politik hukum harus menyerahkan kepada </w:t>
      </w:r>
      <w:r w:rsidRPr="00BB211C">
        <w:rPr>
          <w:rFonts w:asciiTheme="majorBidi" w:hAnsiTheme="majorBidi" w:cstheme="majorBidi"/>
          <w:sz w:val="22"/>
          <w:szCs w:val="22"/>
        </w:rPr>
        <w:t xml:space="preserve">otoritas legislasi kepada penyelenggara negara, tetapi dengan tetap memperhatikan  nilai-nilai yang berlaku di masyarakat” </w:t>
      </w:r>
      <w:r w:rsidR="00712ED2">
        <w:rPr>
          <w:rStyle w:val="FootnoteReference"/>
          <w:rFonts w:asciiTheme="majorBidi" w:hAnsiTheme="majorBidi" w:cstheme="majorBidi"/>
          <w:sz w:val="22"/>
          <w:szCs w:val="22"/>
        </w:rPr>
        <w:footnoteReference w:id="18"/>
      </w:r>
      <w:r w:rsidRPr="00BB211C">
        <w:rPr>
          <w:rFonts w:asciiTheme="majorBidi" w:hAnsiTheme="majorBidi" w:cstheme="majorBidi"/>
          <w:sz w:val="22"/>
          <w:szCs w:val="22"/>
        </w:rPr>
        <w:t>. Politik hukum pidana (</w:t>
      </w:r>
      <w:r w:rsidRPr="00BB211C">
        <w:rPr>
          <w:rFonts w:asciiTheme="majorBidi" w:hAnsiTheme="majorBidi" w:cstheme="majorBidi"/>
          <w:i/>
          <w:sz w:val="22"/>
          <w:szCs w:val="22"/>
        </w:rPr>
        <w:t>criminal law politics</w:t>
      </w:r>
      <w:r w:rsidRPr="00BB211C">
        <w:rPr>
          <w:rFonts w:asciiTheme="majorBidi" w:hAnsiTheme="majorBidi" w:cstheme="majorBidi"/>
          <w:sz w:val="22"/>
          <w:szCs w:val="22"/>
        </w:rPr>
        <w:t>) merupakan  aktivitas  proses  menentukan  tujuan  dan  cara mencapai tujuan tersebut. Dengan demikian, aktivitas tersebut merupakan proses pengambilan keputusan (</w:t>
      </w:r>
      <w:r w:rsidRPr="00BB211C">
        <w:rPr>
          <w:rFonts w:asciiTheme="majorBidi" w:hAnsiTheme="majorBidi" w:cstheme="majorBidi"/>
          <w:i/>
          <w:sz w:val="22"/>
          <w:szCs w:val="22"/>
        </w:rPr>
        <w:t>decision making process</w:t>
      </w:r>
      <w:r w:rsidRPr="00BB211C">
        <w:rPr>
          <w:rFonts w:asciiTheme="majorBidi" w:hAnsiTheme="majorBidi" w:cstheme="majorBidi"/>
          <w:sz w:val="22"/>
          <w:szCs w:val="22"/>
        </w:rPr>
        <w:t>) atau pemilihan melalui seleksi di antara berbagai alternatif yang menjadi tujuan dari sistem hukum pidana mendatang.  Dalam rangka pengambilan keputusan dan menentukan pilihan tersebut, disusun berbagai kebijakan (</w:t>
      </w:r>
      <w:r w:rsidRPr="00BB211C">
        <w:rPr>
          <w:rFonts w:asciiTheme="majorBidi" w:hAnsiTheme="majorBidi" w:cstheme="majorBidi"/>
          <w:i/>
          <w:sz w:val="22"/>
          <w:szCs w:val="22"/>
        </w:rPr>
        <w:t>policies</w:t>
      </w:r>
      <w:r w:rsidRPr="00BB211C">
        <w:rPr>
          <w:rFonts w:asciiTheme="majorBidi" w:hAnsiTheme="majorBidi" w:cstheme="majorBidi"/>
          <w:sz w:val="22"/>
          <w:szCs w:val="22"/>
        </w:rPr>
        <w:t xml:space="preserve">) yang berorientasi pada permasalahan pokok dalam hukum </w:t>
      </w:r>
      <w:r w:rsidRPr="00BB211C">
        <w:rPr>
          <w:rFonts w:asciiTheme="majorBidi" w:hAnsiTheme="majorBidi" w:cstheme="majorBidi"/>
          <w:sz w:val="22"/>
          <w:szCs w:val="22"/>
        </w:rPr>
        <w:lastRenderedPageBreak/>
        <w:t>pidana yaitu meliputi perbuatan yang bersifat melawan hukum, pertanggungjawaban pidana, dan alternatif sanksi, baik pidana (</w:t>
      </w:r>
      <w:r w:rsidRPr="00BB211C">
        <w:rPr>
          <w:rFonts w:asciiTheme="majorBidi" w:hAnsiTheme="majorBidi" w:cstheme="majorBidi"/>
          <w:i/>
          <w:sz w:val="22"/>
          <w:szCs w:val="22"/>
        </w:rPr>
        <w:t>straf</w:t>
      </w:r>
      <w:r w:rsidRPr="00BB211C">
        <w:rPr>
          <w:rFonts w:asciiTheme="majorBidi" w:hAnsiTheme="majorBidi" w:cstheme="majorBidi"/>
          <w:sz w:val="22"/>
          <w:szCs w:val="22"/>
        </w:rPr>
        <w:t>) maupun tindakan (</w:t>
      </w:r>
      <w:r w:rsidRPr="00BB211C">
        <w:rPr>
          <w:rFonts w:asciiTheme="majorBidi" w:hAnsiTheme="majorBidi" w:cstheme="majorBidi"/>
          <w:i/>
          <w:sz w:val="22"/>
          <w:szCs w:val="22"/>
        </w:rPr>
        <w:t>maatregel</w:t>
      </w:r>
      <w:r w:rsidRPr="00BB211C">
        <w:rPr>
          <w:rFonts w:asciiTheme="majorBidi" w:hAnsiTheme="majorBidi" w:cstheme="majorBidi"/>
          <w:sz w:val="22"/>
          <w:szCs w:val="22"/>
        </w:rPr>
        <w:t xml:space="preserve">) </w:t>
      </w:r>
      <w:r w:rsidR="00712ED2">
        <w:rPr>
          <w:rStyle w:val="FootnoteReference"/>
          <w:rFonts w:asciiTheme="majorBidi" w:hAnsiTheme="majorBidi" w:cstheme="majorBidi"/>
          <w:sz w:val="22"/>
          <w:szCs w:val="22"/>
        </w:rPr>
        <w:footnoteReference w:id="19"/>
      </w:r>
      <w:r w:rsidRPr="00BB211C">
        <w:rPr>
          <w:rFonts w:asciiTheme="majorBidi" w:hAnsiTheme="majorBidi" w:cstheme="majorBidi"/>
          <w:sz w:val="22"/>
          <w:szCs w:val="22"/>
        </w:rPr>
        <w:t>.</w:t>
      </w:r>
    </w:p>
    <w:p w14:paraId="69C24FC6" w14:textId="29B4B6E5" w:rsidR="00DE13B6" w:rsidRPr="00BB211C" w:rsidRDefault="00DE13B6" w:rsidP="00DE13B6">
      <w:pPr>
        <w:spacing w:before="0" w:beforeAutospacing="0" w:after="0" w:afterAutospacing="0"/>
        <w:ind w:firstLine="567"/>
        <w:jc w:val="both"/>
        <w:rPr>
          <w:rFonts w:asciiTheme="majorBidi" w:hAnsiTheme="majorBidi" w:cstheme="majorBidi"/>
          <w:sz w:val="22"/>
          <w:szCs w:val="22"/>
        </w:rPr>
      </w:pPr>
      <w:r w:rsidRPr="00BB211C">
        <w:rPr>
          <w:rFonts w:asciiTheme="majorBidi" w:hAnsiTheme="majorBidi" w:cstheme="majorBidi"/>
          <w:sz w:val="22"/>
          <w:szCs w:val="22"/>
        </w:rPr>
        <w:t xml:space="preserve">Kembali pada hubungan kebijakan hukum dan </w:t>
      </w:r>
      <w:r w:rsidRPr="00BB211C">
        <w:rPr>
          <w:rFonts w:asciiTheme="majorBidi" w:hAnsiTheme="majorBidi" w:cstheme="majorBidi"/>
          <w:i/>
          <w:iCs/>
          <w:sz w:val="22"/>
          <w:szCs w:val="22"/>
        </w:rPr>
        <w:t xml:space="preserve">social policy, </w:t>
      </w:r>
      <w:r w:rsidRPr="00BB211C">
        <w:rPr>
          <w:rFonts w:asciiTheme="majorBidi" w:hAnsiTheme="majorBidi" w:cstheme="majorBidi"/>
          <w:sz w:val="22"/>
          <w:szCs w:val="22"/>
        </w:rPr>
        <w:t xml:space="preserve">hukum pidana pada hakikatnya mencerminkan nilai-nilai budaya masyarakat atau bangsa dimana hukum tersebut berlaku. Masyarakat itulah yang menghendaki adanya sanksi yang negatif terhadap perbuatan-perbuatan yang tidak dikehendaki.  Hal ini berhubungan dengan pandangan hidup, tata susila, dan moral keagamaan serta kepentingan bangsa yang bersangkutan  </w:t>
      </w:r>
      <w:r w:rsidR="00712ED2">
        <w:rPr>
          <w:rStyle w:val="FootnoteReference"/>
          <w:rFonts w:asciiTheme="majorBidi" w:hAnsiTheme="majorBidi" w:cstheme="majorBidi"/>
          <w:sz w:val="22"/>
          <w:szCs w:val="22"/>
        </w:rPr>
        <w:footnoteReference w:id="20"/>
      </w:r>
      <w:r w:rsidRPr="00BB211C">
        <w:rPr>
          <w:rFonts w:asciiTheme="majorBidi" w:hAnsiTheme="majorBidi" w:cstheme="majorBidi"/>
          <w:sz w:val="22"/>
          <w:szCs w:val="22"/>
        </w:rPr>
        <w:t xml:space="preserve">. Karena itu, kebijakan hukum pidana pada hakikatnya adalah upaya untuk melakukan reorientasi dan reformasi hukum pidana yang sesuai dengan nilai-nilai sentral sosio-politik, sosio-filosofis, dan sosio-kultural masyarakat Indonesia dan melandasi kebijakan sosial, kebijakan kriminal dan kebijakan penegakan hukum </w:t>
      </w:r>
      <w:r w:rsidR="00712ED2">
        <w:rPr>
          <w:rStyle w:val="FootnoteReference"/>
          <w:rFonts w:asciiTheme="majorBidi" w:hAnsiTheme="majorBidi" w:cstheme="majorBidi"/>
          <w:sz w:val="22"/>
          <w:szCs w:val="22"/>
        </w:rPr>
        <w:footnoteReference w:id="21"/>
      </w:r>
      <w:r w:rsidRPr="00BB211C">
        <w:rPr>
          <w:rFonts w:asciiTheme="majorBidi" w:hAnsiTheme="majorBidi" w:cstheme="majorBidi"/>
          <w:sz w:val="22"/>
          <w:szCs w:val="22"/>
        </w:rPr>
        <w:t xml:space="preserve">. Untuk konteks Indonesia, acuan utama tata hukum adalah Pancasila dan Undang-Undang Dasar Negara Republik Indonesia Tahun 1945.  Karena itu, pembangunan hukum pidana nasional harus mampu mendayagunakan sila-sila Pancasila sebagai landasan filosofi dan harus (1) Tidak boleh bertentangan dengan prinsip-prinsip Ketuhanan Yang Maha Esa yang menghormati kehidupan beragama, rasa keagamaan dan agama sebagai kepentingan yang besar; (2) menghormati nilai-nilai Ha Asasi Manusia, baik sipil, politik, maupun ekonomi, sosial dan budaya. Dalam kerangka hubungan antar bangsa harus menghormati “the right to development”; (3) mendasarkan persatuan nasional pada penghargaan terhadap “civic nationalism” yang menghargai pluralisme; (4) menghormati “core values of democrary”; (5) menempatkan “legal justice” dalam kerangka “social justice” dan prinsip-prinsip “global justice” dalam hubungan antar bangsa </w:t>
      </w:r>
      <w:r w:rsidR="00712ED2">
        <w:rPr>
          <w:rStyle w:val="FootnoteReference"/>
          <w:rFonts w:asciiTheme="majorBidi" w:hAnsiTheme="majorBidi" w:cstheme="majorBidi"/>
          <w:sz w:val="22"/>
          <w:szCs w:val="22"/>
        </w:rPr>
        <w:footnoteReference w:id="22"/>
      </w:r>
      <w:r w:rsidRPr="00BB211C">
        <w:rPr>
          <w:rFonts w:asciiTheme="majorBidi" w:hAnsiTheme="majorBidi" w:cstheme="majorBidi"/>
          <w:sz w:val="22"/>
          <w:szCs w:val="22"/>
        </w:rPr>
        <w:t>. Dengan kalimat berbeda, Prasetyo dan Tanya (2011) menyatakan bahwa dalam menentukan arah politik hukum (pidana) di Indonesia terdapat empat prinsip utama yang disepakati oleh para sarjana sebagai cita hukum Indonesia, yaitu (1) perlindungan terhadap semua unsur bangsa demi lestarinya integrasi bangsa; (2) perwujudan keadilan sosial dalam bidang ekonomi dan sosial kemasyarakatan; (3) perwujudan demokrasi dan nomokrasi dalam hidup bernegara; nomos atau hukum menjadi ”penguasa atas penguasa”; (4) melahirkan toleransi atas dasar kemanusiaan dan keadaban dalam kehidupan beragama.</w:t>
      </w:r>
    </w:p>
    <w:p w14:paraId="1DD5D663" w14:textId="14D94776" w:rsidR="00310049" w:rsidRPr="00BB211C" w:rsidRDefault="009267FD" w:rsidP="00DE13B6">
      <w:pPr>
        <w:spacing w:before="0" w:beforeAutospacing="0" w:after="0" w:afterAutospacing="0" w:line="240" w:lineRule="auto"/>
        <w:ind w:firstLine="567"/>
        <w:jc w:val="both"/>
        <w:rPr>
          <w:rFonts w:asciiTheme="majorBidi" w:hAnsiTheme="majorBidi" w:cstheme="majorBidi"/>
          <w:sz w:val="22"/>
          <w:szCs w:val="22"/>
          <w:lang w:val="sv-SE"/>
        </w:rPr>
      </w:pPr>
      <w:r w:rsidRPr="00BB211C">
        <w:rPr>
          <w:rFonts w:asciiTheme="majorBidi" w:hAnsiTheme="majorBidi" w:cstheme="majorBidi"/>
          <w:sz w:val="22"/>
          <w:szCs w:val="22"/>
        </w:rPr>
        <w:t xml:space="preserve">Terkait dengan pembicaraan politik hukum, maka sering dikemukakan pendapat dari </w:t>
      </w:r>
      <w:r w:rsidR="001A0F1F" w:rsidRPr="00BB211C">
        <w:rPr>
          <w:rFonts w:asciiTheme="majorBidi" w:hAnsiTheme="majorBidi" w:cstheme="majorBidi"/>
          <w:sz w:val="22"/>
          <w:szCs w:val="22"/>
          <w:lang w:val="sv-SE"/>
        </w:rPr>
        <w:t xml:space="preserve"> </w:t>
      </w:r>
      <w:r w:rsidR="00506A2F" w:rsidRPr="00BB211C">
        <w:rPr>
          <w:rFonts w:asciiTheme="majorBidi" w:hAnsiTheme="majorBidi" w:cstheme="majorBidi"/>
          <w:sz w:val="22"/>
          <w:szCs w:val="22"/>
          <w:lang w:val="sv-SE"/>
        </w:rPr>
        <w:t xml:space="preserve">Padmo Wahjono </w:t>
      </w:r>
      <w:r w:rsidR="00F82121" w:rsidRPr="00BB211C">
        <w:rPr>
          <w:rFonts w:asciiTheme="majorBidi" w:hAnsiTheme="majorBidi" w:cstheme="majorBidi"/>
          <w:sz w:val="22"/>
          <w:szCs w:val="22"/>
        </w:rPr>
        <w:t xml:space="preserve">yang </w:t>
      </w:r>
      <w:r w:rsidR="00506A2F" w:rsidRPr="00BB211C">
        <w:rPr>
          <w:rFonts w:asciiTheme="majorBidi" w:hAnsiTheme="majorBidi" w:cstheme="majorBidi"/>
          <w:sz w:val="22"/>
          <w:szCs w:val="22"/>
          <w:lang w:val="sv-SE"/>
        </w:rPr>
        <w:t>men</w:t>
      </w:r>
      <w:r w:rsidR="001A0F1F" w:rsidRPr="00BB211C">
        <w:rPr>
          <w:rFonts w:asciiTheme="majorBidi" w:hAnsiTheme="majorBidi" w:cstheme="majorBidi"/>
          <w:sz w:val="22"/>
          <w:szCs w:val="22"/>
          <w:lang w:val="sv-SE"/>
        </w:rPr>
        <w:t>y</w:t>
      </w:r>
      <w:r w:rsidR="00506A2F" w:rsidRPr="00BB211C">
        <w:rPr>
          <w:rFonts w:asciiTheme="majorBidi" w:hAnsiTheme="majorBidi" w:cstheme="majorBidi"/>
          <w:sz w:val="22"/>
          <w:szCs w:val="22"/>
          <w:lang w:val="sv-SE"/>
        </w:rPr>
        <w:t>atakan bahwa politik hukum</w:t>
      </w:r>
      <w:r w:rsidRPr="00BB211C">
        <w:rPr>
          <w:rFonts w:asciiTheme="majorBidi" w:hAnsiTheme="majorBidi" w:cstheme="majorBidi"/>
          <w:sz w:val="22"/>
          <w:szCs w:val="22"/>
        </w:rPr>
        <w:t xml:space="preserve"> itu </w:t>
      </w:r>
      <w:r w:rsidR="00506A2F" w:rsidRPr="00BB211C">
        <w:rPr>
          <w:rFonts w:asciiTheme="majorBidi" w:hAnsiTheme="majorBidi" w:cstheme="majorBidi"/>
          <w:sz w:val="22"/>
          <w:szCs w:val="22"/>
          <w:lang w:val="sv-SE"/>
        </w:rPr>
        <w:t xml:space="preserve"> adalah kebijakan dasar yang menentukan</w:t>
      </w:r>
      <w:r w:rsidRPr="00BB211C">
        <w:rPr>
          <w:rFonts w:asciiTheme="majorBidi" w:hAnsiTheme="majorBidi" w:cstheme="majorBidi"/>
          <w:sz w:val="22"/>
          <w:szCs w:val="22"/>
        </w:rPr>
        <w:t xml:space="preserve"> kemana </w:t>
      </w:r>
      <w:r w:rsidR="00506A2F" w:rsidRPr="00BB211C">
        <w:rPr>
          <w:rFonts w:asciiTheme="majorBidi" w:hAnsiTheme="majorBidi" w:cstheme="majorBidi"/>
          <w:sz w:val="22"/>
          <w:szCs w:val="22"/>
          <w:lang w:val="sv-SE"/>
        </w:rPr>
        <w:t xml:space="preserve"> arah,</w:t>
      </w:r>
      <w:r w:rsidRPr="00BB211C">
        <w:rPr>
          <w:rFonts w:asciiTheme="majorBidi" w:hAnsiTheme="majorBidi" w:cstheme="majorBidi"/>
          <w:sz w:val="22"/>
          <w:szCs w:val="22"/>
        </w:rPr>
        <w:t xml:space="preserve"> apa </w:t>
      </w:r>
      <w:r w:rsidRPr="00BB211C">
        <w:rPr>
          <w:rFonts w:asciiTheme="majorBidi" w:hAnsiTheme="majorBidi" w:cstheme="majorBidi"/>
          <w:sz w:val="22"/>
          <w:szCs w:val="22"/>
          <w:lang w:val="sv-SE"/>
        </w:rPr>
        <w:t xml:space="preserve"> bentuk dan </w:t>
      </w:r>
      <w:r w:rsidRPr="00BB211C">
        <w:rPr>
          <w:rFonts w:asciiTheme="majorBidi" w:hAnsiTheme="majorBidi" w:cstheme="majorBidi"/>
          <w:sz w:val="22"/>
          <w:szCs w:val="22"/>
        </w:rPr>
        <w:t>apa</w:t>
      </w:r>
      <w:r w:rsidR="00506A2F" w:rsidRPr="00BB211C">
        <w:rPr>
          <w:rFonts w:asciiTheme="majorBidi" w:hAnsiTheme="majorBidi" w:cstheme="majorBidi"/>
          <w:sz w:val="22"/>
          <w:szCs w:val="22"/>
          <w:lang w:val="sv-SE"/>
        </w:rPr>
        <w:t xml:space="preserve"> isi hukum yang akan dibentuk</w:t>
      </w:r>
      <w:r w:rsidR="00652C37" w:rsidRPr="00BB211C">
        <w:rPr>
          <w:rFonts w:asciiTheme="majorBidi" w:hAnsiTheme="majorBidi" w:cstheme="majorBidi"/>
          <w:sz w:val="22"/>
          <w:szCs w:val="22"/>
          <w:lang w:val="sv-SE"/>
        </w:rPr>
        <w:t xml:space="preserve"> </w:t>
      </w:r>
      <w:r w:rsidR="00712ED2">
        <w:rPr>
          <w:rStyle w:val="FootnoteReference"/>
          <w:rFonts w:asciiTheme="majorBidi" w:hAnsiTheme="majorBidi" w:cstheme="majorBidi"/>
          <w:sz w:val="22"/>
          <w:szCs w:val="22"/>
          <w:lang w:val="sv-SE"/>
        </w:rPr>
        <w:footnoteReference w:id="23"/>
      </w:r>
      <w:r w:rsidR="00506A2F" w:rsidRPr="00BB211C">
        <w:rPr>
          <w:rFonts w:asciiTheme="majorBidi" w:hAnsiTheme="majorBidi" w:cstheme="majorBidi"/>
          <w:sz w:val="22"/>
          <w:szCs w:val="22"/>
          <w:lang w:val="sv-SE"/>
        </w:rPr>
        <w:t xml:space="preserve">. </w:t>
      </w:r>
      <w:r w:rsidR="001A0F1F" w:rsidRPr="00BB211C">
        <w:rPr>
          <w:rFonts w:asciiTheme="majorBidi" w:hAnsiTheme="majorBidi" w:cstheme="majorBidi"/>
          <w:sz w:val="22"/>
          <w:szCs w:val="22"/>
          <w:lang w:val="sv-SE"/>
        </w:rPr>
        <w:t xml:space="preserve">Dengan politik hukum ditentukan arah kemana hukum kita akan digiring, terkait bentuk politik hukum akan </w:t>
      </w:r>
      <w:r w:rsidR="00F82121" w:rsidRPr="00BB211C">
        <w:rPr>
          <w:rFonts w:asciiTheme="majorBidi" w:hAnsiTheme="majorBidi" w:cstheme="majorBidi"/>
          <w:sz w:val="22"/>
          <w:szCs w:val="22"/>
        </w:rPr>
        <w:t>m</w:t>
      </w:r>
      <w:r w:rsidR="001A0F1F" w:rsidRPr="00BB211C">
        <w:rPr>
          <w:rFonts w:asciiTheme="majorBidi" w:hAnsiTheme="majorBidi" w:cstheme="majorBidi"/>
          <w:sz w:val="22"/>
          <w:szCs w:val="22"/>
          <w:lang w:val="sv-SE"/>
        </w:rPr>
        <w:t xml:space="preserve">enentukan sejauh mana hukum dalam bentuk tidak terlis berperan di dalam masyarakat, sehingga </w:t>
      </w:r>
      <w:r w:rsidR="000B0A7B" w:rsidRPr="00BB211C">
        <w:rPr>
          <w:rFonts w:asciiTheme="majorBidi" w:hAnsiTheme="majorBidi" w:cstheme="majorBidi"/>
          <w:sz w:val="22"/>
          <w:szCs w:val="22"/>
          <w:lang w:val="sv-SE"/>
        </w:rPr>
        <w:t>di dalam hukum tertulis juga memberi ruang terhadap hukum yang tidak tertulis terseb</w:t>
      </w:r>
      <w:r w:rsidR="00F82121" w:rsidRPr="00BB211C">
        <w:rPr>
          <w:rFonts w:asciiTheme="majorBidi" w:hAnsiTheme="majorBidi" w:cstheme="majorBidi"/>
          <w:sz w:val="22"/>
          <w:szCs w:val="22"/>
        </w:rPr>
        <w:t>u</w:t>
      </w:r>
      <w:r w:rsidR="000B0A7B" w:rsidRPr="00BB211C">
        <w:rPr>
          <w:rFonts w:asciiTheme="majorBidi" w:hAnsiTheme="majorBidi" w:cstheme="majorBidi"/>
          <w:sz w:val="22"/>
          <w:szCs w:val="22"/>
          <w:lang w:val="sv-SE"/>
        </w:rPr>
        <w:t>t. Menyangkut dengan isi, maka</w:t>
      </w:r>
      <w:r w:rsidR="00F82121" w:rsidRPr="00BB211C">
        <w:rPr>
          <w:rFonts w:asciiTheme="majorBidi" w:hAnsiTheme="majorBidi" w:cstheme="majorBidi"/>
          <w:sz w:val="22"/>
          <w:szCs w:val="22"/>
          <w:lang w:val="sv-SE"/>
        </w:rPr>
        <w:t>, dengan politik hukum ditentuk</w:t>
      </w:r>
      <w:r w:rsidR="000B0A7B" w:rsidRPr="00BB211C">
        <w:rPr>
          <w:rFonts w:asciiTheme="majorBidi" w:hAnsiTheme="majorBidi" w:cstheme="majorBidi"/>
          <w:sz w:val="22"/>
          <w:szCs w:val="22"/>
          <w:lang w:val="sv-SE"/>
        </w:rPr>
        <w:t>an bagaimana isi hukum itu mengakomodasikan semua kepentiang masyarakat Indonesia yang berbh</w:t>
      </w:r>
      <w:r w:rsidR="00DE13B6" w:rsidRPr="00BB211C">
        <w:rPr>
          <w:rFonts w:asciiTheme="majorBidi" w:hAnsiTheme="majorBidi" w:cstheme="majorBidi"/>
          <w:sz w:val="22"/>
          <w:szCs w:val="22"/>
          <w:lang w:val="sv-SE"/>
        </w:rPr>
        <w:t>in</w:t>
      </w:r>
      <w:r w:rsidR="000B0A7B" w:rsidRPr="00BB211C">
        <w:rPr>
          <w:rFonts w:asciiTheme="majorBidi" w:hAnsiTheme="majorBidi" w:cstheme="majorBidi"/>
          <w:sz w:val="22"/>
          <w:szCs w:val="22"/>
          <w:lang w:val="sv-SE"/>
        </w:rPr>
        <w:t xml:space="preserve">neka tunggal ika. </w:t>
      </w:r>
    </w:p>
    <w:p w14:paraId="4BDAF723" w14:textId="6E972C4B" w:rsidR="000B0A7B" w:rsidRPr="00BB211C" w:rsidRDefault="000B0A7B" w:rsidP="00015BFA">
      <w:pPr>
        <w:spacing w:before="0" w:beforeAutospacing="0" w:after="0" w:afterAutospacing="0" w:line="240" w:lineRule="auto"/>
        <w:ind w:firstLine="567"/>
        <w:jc w:val="both"/>
        <w:rPr>
          <w:rFonts w:asciiTheme="majorBidi" w:hAnsiTheme="majorBidi" w:cstheme="majorBidi"/>
          <w:sz w:val="22"/>
          <w:szCs w:val="22"/>
          <w:lang w:val="sv-SE"/>
        </w:rPr>
      </w:pPr>
      <w:r w:rsidRPr="00BB211C">
        <w:rPr>
          <w:rFonts w:asciiTheme="majorBidi" w:hAnsiTheme="majorBidi" w:cstheme="majorBidi"/>
          <w:sz w:val="22"/>
          <w:szCs w:val="22"/>
          <w:lang w:val="sv-SE"/>
        </w:rPr>
        <w:t xml:space="preserve">Selanjutnya, Satjipto Rahardjo memberikan definisi </w:t>
      </w:r>
      <w:r w:rsidR="005256DF" w:rsidRPr="00BB211C">
        <w:rPr>
          <w:rFonts w:asciiTheme="majorBidi" w:hAnsiTheme="majorBidi" w:cstheme="majorBidi"/>
          <w:sz w:val="22"/>
          <w:szCs w:val="22"/>
          <w:lang w:val="sv-SE"/>
        </w:rPr>
        <w:t>p</w:t>
      </w:r>
      <w:r w:rsidRPr="00BB211C">
        <w:rPr>
          <w:rFonts w:asciiTheme="majorBidi" w:hAnsiTheme="majorBidi" w:cstheme="majorBidi"/>
          <w:sz w:val="22"/>
          <w:szCs w:val="22"/>
          <w:lang w:val="sv-SE"/>
        </w:rPr>
        <w:t>olitik hukum yang lebih</w:t>
      </w:r>
      <w:r w:rsidR="00F82121" w:rsidRPr="00BB211C">
        <w:rPr>
          <w:rFonts w:asciiTheme="majorBidi" w:hAnsiTheme="majorBidi" w:cstheme="majorBidi"/>
          <w:sz w:val="22"/>
          <w:szCs w:val="22"/>
        </w:rPr>
        <w:t xml:space="preserve"> </w:t>
      </w:r>
      <w:r w:rsidRPr="00BB211C">
        <w:rPr>
          <w:rFonts w:asciiTheme="majorBidi" w:hAnsiTheme="majorBidi" w:cstheme="majorBidi"/>
          <w:sz w:val="22"/>
          <w:szCs w:val="22"/>
          <w:lang w:val="sv-SE"/>
        </w:rPr>
        <w:t>luas. ia menjelaskan bahwa politik hukum adalah sebagai aktivitas memilih dan cara yang hendak dipakai untuk mencapa</w:t>
      </w:r>
      <w:r w:rsidR="00681363" w:rsidRPr="00BB211C">
        <w:rPr>
          <w:rFonts w:asciiTheme="majorBidi" w:hAnsiTheme="majorBidi" w:cstheme="majorBidi"/>
          <w:sz w:val="22"/>
          <w:szCs w:val="22"/>
          <w:lang w:val="sv-SE"/>
        </w:rPr>
        <w:t>i</w:t>
      </w:r>
      <w:r w:rsidRPr="00BB211C">
        <w:rPr>
          <w:rFonts w:asciiTheme="majorBidi" w:hAnsiTheme="majorBidi" w:cstheme="majorBidi"/>
          <w:sz w:val="22"/>
          <w:szCs w:val="22"/>
          <w:lang w:val="sv-SE"/>
        </w:rPr>
        <w:t xml:space="preserve"> suatu tujuan sosial dengan hukum tertentu di dalam masyarakat yang cakupannya meliputi jawaban atas beberapa pertanyaan mendasar yang mencakup beberapa hal meliputi</w:t>
      </w:r>
      <w:r w:rsidR="00652C37" w:rsidRPr="00BB211C">
        <w:rPr>
          <w:rFonts w:asciiTheme="majorBidi" w:hAnsiTheme="majorBidi" w:cstheme="majorBidi"/>
          <w:sz w:val="22"/>
          <w:szCs w:val="22"/>
          <w:lang w:val="sv-SE"/>
        </w:rPr>
        <w:t xml:space="preserve"> </w:t>
      </w:r>
      <w:r w:rsidR="00712ED2">
        <w:rPr>
          <w:rStyle w:val="FootnoteReference"/>
          <w:rFonts w:asciiTheme="majorBidi" w:hAnsiTheme="majorBidi" w:cstheme="majorBidi"/>
          <w:sz w:val="22"/>
          <w:szCs w:val="22"/>
          <w:lang w:val="sv-SE"/>
        </w:rPr>
        <w:footnoteReference w:id="24"/>
      </w:r>
      <w:r w:rsidR="00015BFA">
        <w:rPr>
          <w:rFonts w:asciiTheme="majorBidi" w:hAnsiTheme="majorBidi" w:cstheme="majorBidi"/>
          <w:sz w:val="22"/>
          <w:szCs w:val="22"/>
          <w:lang w:val="sv-SE"/>
        </w:rPr>
        <w:t xml:space="preserve"> (a) </w:t>
      </w:r>
      <w:r w:rsidRPr="00BB211C">
        <w:rPr>
          <w:rFonts w:asciiTheme="majorBidi" w:hAnsiTheme="majorBidi" w:cstheme="majorBidi"/>
          <w:sz w:val="22"/>
          <w:szCs w:val="22"/>
          <w:lang w:val="sv-SE"/>
        </w:rPr>
        <w:t xml:space="preserve">Tujuan apa yang hendak dicapai melalui sistem yang ada; </w:t>
      </w:r>
      <w:r w:rsidR="00015BFA">
        <w:rPr>
          <w:rFonts w:asciiTheme="majorBidi" w:hAnsiTheme="majorBidi" w:cstheme="majorBidi"/>
          <w:sz w:val="22"/>
          <w:szCs w:val="22"/>
          <w:lang w:val="sv-SE"/>
        </w:rPr>
        <w:t xml:space="preserve">(b) </w:t>
      </w:r>
      <w:r w:rsidRPr="00BB211C">
        <w:rPr>
          <w:rFonts w:asciiTheme="majorBidi" w:hAnsiTheme="majorBidi" w:cstheme="majorBidi"/>
          <w:sz w:val="22"/>
          <w:szCs w:val="22"/>
          <w:lang w:val="sv-SE"/>
        </w:rPr>
        <w:t>Cara-cara apa dan yang mana yang dirasa paling baik untuk dipakai dalam mencapai tujuan tersebut;</w:t>
      </w:r>
      <w:r w:rsidR="00015BFA">
        <w:rPr>
          <w:rFonts w:asciiTheme="majorBidi" w:hAnsiTheme="majorBidi" w:cstheme="majorBidi"/>
          <w:sz w:val="22"/>
          <w:szCs w:val="22"/>
          <w:lang w:val="sv-SE"/>
        </w:rPr>
        <w:t xml:space="preserve"> (c) </w:t>
      </w:r>
      <w:r w:rsidRPr="00BB211C">
        <w:rPr>
          <w:rFonts w:asciiTheme="majorBidi" w:hAnsiTheme="majorBidi" w:cstheme="majorBidi"/>
          <w:sz w:val="22"/>
          <w:szCs w:val="22"/>
          <w:lang w:val="sv-SE"/>
        </w:rPr>
        <w:t xml:space="preserve">Kapan waktunya dan melalui cara bagaimana hukum itu perlu diubah; </w:t>
      </w:r>
      <w:r w:rsidR="00015BFA">
        <w:rPr>
          <w:rFonts w:asciiTheme="majorBidi" w:hAnsiTheme="majorBidi" w:cstheme="majorBidi"/>
          <w:sz w:val="22"/>
          <w:szCs w:val="22"/>
          <w:lang w:val="sv-SE"/>
        </w:rPr>
        <w:t xml:space="preserve">(d) </w:t>
      </w:r>
      <w:r w:rsidRPr="00BB211C">
        <w:rPr>
          <w:rFonts w:asciiTheme="majorBidi" w:hAnsiTheme="majorBidi" w:cstheme="majorBidi"/>
          <w:sz w:val="22"/>
          <w:szCs w:val="22"/>
          <w:lang w:val="sv-SE"/>
        </w:rPr>
        <w:t xml:space="preserve">Dapatkah suatu pola yang baku dan mapan dirumuskan </w:t>
      </w:r>
      <w:r w:rsidRPr="00BB211C">
        <w:rPr>
          <w:rFonts w:asciiTheme="majorBidi" w:hAnsiTheme="majorBidi" w:cstheme="majorBidi"/>
          <w:sz w:val="22"/>
          <w:szCs w:val="22"/>
          <w:lang w:val="sv-SE"/>
        </w:rPr>
        <w:lastRenderedPageBreak/>
        <w:t>untuk membantu dalam memutuskan proses pemilihan tujuan serta cara-cara untuk mencapai tujuan tersebut dengan baik.</w:t>
      </w:r>
    </w:p>
    <w:p w14:paraId="20E9FBC9" w14:textId="388B1C74" w:rsidR="00310049" w:rsidRPr="00BB211C" w:rsidRDefault="00506A2F" w:rsidP="00DE13B6">
      <w:pPr>
        <w:spacing w:before="0" w:beforeAutospacing="0" w:after="0" w:afterAutospacing="0" w:line="240" w:lineRule="auto"/>
        <w:ind w:firstLine="567"/>
        <w:jc w:val="both"/>
        <w:rPr>
          <w:rFonts w:asciiTheme="majorBidi" w:hAnsiTheme="majorBidi" w:cstheme="majorBidi"/>
          <w:sz w:val="22"/>
          <w:szCs w:val="22"/>
          <w:lang w:val="en-US"/>
        </w:rPr>
      </w:pPr>
      <w:r w:rsidRPr="00BB211C">
        <w:rPr>
          <w:rFonts w:asciiTheme="majorBidi" w:hAnsiTheme="majorBidi" w:cstheme="majorBidi"/>
          <w:sz w:val="22"/>
          <w:szCs w:val="22"/>
          <w:lang w:val="sv-SE"/>
        </w:rPr>
        <w:t>Teuku Mohammad Radhie membatasi bahwa esensi politik hukum bukan berdasarkan kehendak kelompok masyarakat tertentu yang dipaksakan, tetapi meru</w:t>
      </w:r>
      <w:r w:rsidRPr="00BB211C">
        <w:rPr>
          <w:rFonts w:asciiTheme="majorBidi" w:hAnsiTheme="majorBidi" w:cstheme="majorBidi"/>
          <w:sz w:val="22"/>
          <w:szCs w:val="22"/>
        </w:rPr>
        <w:t>p</w:t>
      </w:r>
      <w:r w:rsidRPr="00BB211C">
        <w:rPr>
          <w:rFonts w:asciiTheme="majorBidi" w:hAnsiTheme="majorBidi" w:cstheme="majorBidi"/>
          <w:sz w:val="22"/>
          <w:szCs w:val="22"/>
          <w:lang w:val="sv-SE"/>
        </w:rPr>
        <w:t>akan suatu pernyataan kehendak penguasa negara mengenai hukum yang berlaku di wilayahnya dan mengenai arah perkembangan hukum yang dibangun</w:t>
      </w:r>
      <w:r w:rsidR="00E03710" w:rsidRPr="00BB211C">
        <w:rPr>
          <w:rFonts w:asciiTheme="majorBidi" w:hAnsiTheme="majorBidi" w:cstheme="majorBidi"/>
          <w:sz w:val="22"/>
          <w:szCs w:val="22"/>
          <w:lang w:val="sv-SE"/>
        </w:rPr>
        <w:t xml:space="preserve"> </w:t>
      </w:r>
      <w:r w:rsidR="00712ED2">
        <w:rPr>
          <w:rStyle w:val="FootnoteReference"/>
          <w:rFonts w:asciiTheme="majorBidi" w:hAnsiTheme="majorBidi" w:cstheme="majorBidi"/>
          <w:sz w:val="22"/>
          <w:szCs w:val="22"/>
          <w:lang w:val="sv-SE"/>
        </w:rPr>
        <w:footnoteReference w:id="25"/>
      </w:r>
      <w:r w:rsidRPr="00BB211C">
        <w:rPr>
          <w:rFonts w:asciiTheme="majorBidi" w:hAnsiTheme="majorBidi" w:cstheme="majorBidi"/>
          <w:sz w:val="22"/>
          <w:szCs w:val="22"/>
          <w:lang w:val="sv-SE"/>
        </w:rPr>
        <w:t>.</w:t>
      </w:r>
      <w:r w:rsidR="001030A6" w:rsidRPr="00BB211C">
        <w:rPr>
          <w:rFonts w:asciiTheme="majorBidi" w:hAnsiTheme="majorBidi" w:cstheme="majorBidi"/>
          <w:sz w:val="22"/>
          <w:szCs w:val="22"/>
        </w:rPr>
        <w:t xml:space="preserve"> Pendapat ini sepertinya di dalam menentukan isi hukum itu dominasi dari penguasa sangat besar, sehingga mengabaikan kelompok minoritas yang di dalam konstitusi juga harus diberikan tempat.</w:t>
      </w:r>
    </w:p>
    <w:p w14:paraId="7FBA346E" w14:textId="4BCF547F" w:rsidR="00310049" w:rsidRPr="00BB211C" w:rsidRDefault="00506A2F" w:rsidP="00DE13B6">
      <w:pPr>
        <w:spacing w:before="0" w:beforeAutospacing="0" w:after="0" w:afterAutospacing="0" w:line="240" w:lineRule="auto"/>
        <w:ind w:firstLine="567"/>
        <w:jc w:val="both"/>
        <w:rPr>
          <w:rFonts w:asciiTheme="majorBidi" w:hAnsiTheme="majorBidi" w:cstheme="majorBidi"/>
          <w:sz w:val="22"/>
          <w:szCs w:val="22"/>
          <w:lang w:val="en-US"/>
        </w:rPr>
      </w:pPr>
      <w:r w:rsidRPr="00BB211C">
        <w:rPr>
          <w:rFonts w:asciiTheme="majorBidi" w:hAnsiTheme="majorBidi" w:cstheme="majorBidi"/>
          <w:sz w:val="22"/>
          <w:szCs w:val="22"/>
          <w:lang w:val="sv-SE"/>
        </w:rPr>
        <w:t>Soedarto mengemukakan bahwa politik hukum adalah kebijakan negara melalui badan-badan negara yang berwenang untuk menetapkan peraturan-peraturan yang dikehendaki yang diperkirakan akan dipergunakan untuk mengekspresikan apa yang terkandung dalam masyarakat dan untuk mencapai apa yang dicita-citakan. Secara singkat Soedarto menyimpulkan bahwa politik hukum adalah sebagai upaya untuk mewujudkan peraturan-peraturan yang baik sesuai dengan keadaan dan situasi pada suatu waktu</w:t>
      </w:r>
      <w:r w:rsidR="00E03710" w:rsidRPr="00BB211C">
        <w:rPr>
          <w:rFonts w:asciiTheme="majorBidi" w:hAnsiTheme="majorBidi" w:cstheme="majorBidi"/>
          <w:sz w:val="22"/>
          <w:szCs w:val="22"/>
          <w:lang w:val="sv-SE"/>
        </w:rPr>
        <w:t xml:space="preserve"> </w:t>
      </w:r>
      <w:r w:rsidR="00712ED2">
        <w:rPr>
          <w:rStyle w:val="FootnoteReference"/>
          <w:rFonts w:asciiTheme="majorBidi" w:hAnsiTheme="majorBidi" w:cstheme="majorBidi"/>
          <w:sz w:val="22"/>
          <w:szCs w:val="22"/>
          <w:lang w:val="sv-SE"/>
        </w:rPr>
        <w:footnoteReference w:id="26"/>
      </w:r>
      <w:r w:rsidRPr="00BB211C">
        <w:rPr>
          <w:rFonts w:asciiTheme="majorBidi" w:hAnsiTheme="majorBidi" w:cstheme="majorBidi"/>
          <w:sz w:val="22"/>
          <w:szCs w:val="22"/>
          <w:lang w:val="sv-SE"/>
        </w:rPr>
        <w:t>.</w:t>
      </w:r>
      <w:r w:rsidR="000B0A7B" w:rsidRPr="00BB211C">
        <w:rPr>
          <w:rFonts w:asciiTheme="majorBidi" w:hAnsiTheme="majorBidi" w:cstheme="majorBidi"/>
          <w:sz w:val="22"/>
          <w:szCs w:val="22"/>
          <w:lang w:val="sv-SE"/>
        </w:rPr>
        <w:t xml:space="preserve"> Kalau dikaitkan  dengan hukum pidana maka tentu politik hukum pidana adalah bagaimana membuat hukum pidana yang baik.</w:t>
      </w:r>
    </w:p>
    <w:p w14:paraId="40E549C4" w14:textId="6BE97B7A" w:rsidR="00310049" w:rsidRPr="00BB211C" w:rsidRDefault="00506A2F" w:rsidP="00DE13B6">
      <w:pPr>
        <w:spacing w:before="0" w:beforeAutospacing="0" w:after="0" w:afterAutospacing="0" w:line="240" w:lineRule="auto"/>
        <w:ind w:firstLine="567"/>
        <w:jc w:val="both"/>
        <w:rPr>
          <w:rFonts w:asciiTheme="majorBidi" w:hAnsiTheme="majorBidi" w:cstheme="majorBidi"/>
          <w:sz w:val="22"/>
          <w:szCs w:val="22"/>
          <w:lang w:val="sv-SE"/>
        </w:rPr>
      </w:pPr>
      <w:r w:rsidRPr="00BB211C">
        <w:rPr>
          <w:rFonts w:asciiTheme="majorBidi" w:hAnsiTheme="majorBidi" w:cstheme="majorBidi"/>
          <w:sz w:val="22"/>
          <w:szCs w:val="22"/>
          <w:lang w:val="sv-SE"/>
        </w:rPr>
        <w:t xml:space="preserve">Mahfud MD mengemukakan bahwa politik hukum adalah </w:t>
      </w:r>
      <w:r w:rsidR="000B0A7B" w:rsidRPr="00BB211C">
        <w:rPr>
          <w:rFonts w:asciiTheme="majorBidi" w:hAnsiTheme="majorBidi" w:cstheme="majorBidi"/>
          <w:sz w:val="22"/>
          <w:szCs w:val="22"/>
          <w:lang w:val="sv-SE"/>
        </w:rPr>
        <w:t>garis kebijakan atau</w:t>
      </w:r>
      <w:r w:rsidRPr="00BB211C">
        <w:rPr>
          <w:rFonts w:asciiTheme="majorBidi" w:hAnsiTheme="majorBidi" w:cstheme="majorBidi"/>
          <w:sz w:val="22"/>
          <w:szCs w:val="22"/>
          <w:lang w:val="sv-SE"/>
        </w:rPr>
        <w:t>“</w:t>
      </w:r>
      <w:r w:rsidRPr="00BB211C">
        <w:rPr>
          <w:rFonts w:asciiTheme="majorBidi" w:hAnsiTheme="majorBidi" w:cstheme="majorBidi"/>
          <w:i/>
          <w:sz w:val="22"/>
          <w:szCs w:val="22"/>
          <w:lang w:val="sv-SE"/>
        </w:rPr>
        <w:t>legal policy</w:t>
      </w:r>
      <w:r w:rsidRPr="00BB211C">
        <w:rPr>
          <w:rFonts w:asciiTheme="majorBidi" w:hAnsiTheme="majorBidi" w:cstheme="majorBidi"/>
          <w:sz w:val="22"/>
          <w:szCs w:val="22"/>
          <w:lang w:val="sv-SE"/>
        </w:rPr>
        <w:t xml:space="preserve">” </w:t>
      </w:r>
      <w:r w:rsidR="000B0A7B" w:rsidRPr="00BB211C">
        <w:rPr>
          <w:rFonts w:asciiTheme="majorBidi" w:hAnsiTheme="majorBidi" w:cstheme="majorBidi"/>
          <w:sz w:val="22"/>
          <w:szCs w:val="22"/>
          <w:lang w:val="sv-SE"/>
        </w:rPr>
        <w:t xml:space="preserve">yang </w:t>
      </w:r>
      <w:r w:rsidRPr="00BB211C">
        <w:rPr>
          <w:rFonts w:asciiTheme="majorBidi" w:hAnsiTheme="majorBidi" w:cstheme="majorBidi"/>
          <w:sz w:val="22"/>
          <w:szCs w:val="22"/>
          <w:lang w:val="sv-SE"/>
        </w:rPr>
        <w:t xml:space="preserve"> resmi tentang hukum yang akan diberlakukan</w:t>
      </w:r>
      <w:r w:rsidR="000B0A7B" w:rsidRPr="00BB211C">
        <w:rPr>
          <w:rFonts w:asciiTheme="majorBidi" w:hAnsiTheme="majorBidi" w:cstheme="majorBidi"/>
          <w:sz w:val="22"/>
          <w:szCs w:val="22"/>
          <w:lang w:val="sv-SE"/>
        </w:rPr>
        <w:t>,</w:t>
      </w:r>
      <w:r w:rsidRPr="00BB211C">
        <w:rPr>
          <w:rFonts w:asciiTheme="majorBidi" w:hAnsiTheme="majorBidi" w:cstheme="majorBidi"/>
          <w:sz w:val="22"/>
          <w:szCs w:val="22"/>
          <w:lang w:val="sv-SE"/>
        </w:rPr>
        <w:t xml:space="preserve"> baik dengan perbuatan hukum baru maupun dengan penggantian hukum lama, dalam rangka mencapai tujuan negara. Secara jelas disampaikan bahwa politik hukum merupakan pilihan tentang hukum-hukum yang akan diberlakukan sekaligus pilihan tentang hukum-hukum yang akan  dicabut atau tidak diberlakukan yang kesemuanya dimaksudkan untuk mencapai tujuan negara seperti yang tercantum dalam Pembukaan Undang-undang Dasar Negara Republik Indonesia Tahun 1945</w:t>
      </w:r>
      <w:r w:rsidR="00E03710" w:rsidRPr="00BB211C">
        <w:rPr>
          <w:rFonts w:asciiTheme="majorBidi" w:hAnsiTheme="majorBidi" w:cstheme="majorBidi"/>
          <w:sz w:val="22"/>
          <w:szCs w:val="22"/>
          <w:lang w:val="sv-SE"/>
        </w:rPr>
        <w:t xml:space="preserve"> </w:t>
      </w:r>
      <w:r w:rsidR="00712ED2">
        <w:rPr>
          <w:rStyle w:val="FootnoteReference"/>
          <w:rFonts w:asciiTheme="majorBidi" w:hAnsiTheme="majorBidi" w:cstheme="majorBidi"/>
          <w:sz w:val="22"/>
          <w:szCs w:val="22"/>
          <w:lang w:val="sv-SE"/>
        </w:rPr>
        <w:footnoteReference w:id="27"/>
      </w:r>
      <w:r w:rsidRPr="00BB211C">
        <w:rPr>
          <w:rFonts w:asciiTheme="majorBidi" w:hAnsiTheme="majorBidi" w:cstheme="majorBidi"/>
          <w:sz w:val="22"/>
          <w:szCs w:val="22"/>
          <w:lang w:val="sv-SE"/>
        </w:rPr>
        <w:t>.</w:t>
      </w:r>
    </w:p>
    <w:p w14:paraId="2EE74781" w14:textId="7732F45F" w:rsidR="00E03710" w:rsidRPr="00BB211C" w:rsidRDefault="00506A2F" w:rsidP="00DE13B6">
      <w:pPr>
        <w:spacing w:before="0" w:beforeAutospacing="0" w:after="0" w:afterAutospacing="0" w:line="240" w:lineRule="auto"/>
        <w:ind w:firstLine="567"/>
        <w:jc w:val="both"/>
        <w:rPr>
          <w:rFonts w:asciiTheme="majorBidi" w:hAnsiTheme="majorBidi" w:cstheme="majorBidi"/>
          <w:sz w:val="22"/>
          <w:szCs w:val="22"/>
        </w:rPr>
      </w:pPr>
      <w:r w:rsidRPr="00BB211C">
        <w:rPr>
          <w:rFonts w:asciiTheme="majorBidi" w:hAnsiTheme="majorBidi" w:cstheme="majorBidi"/>
          <w:sz w:val="22"/>
          <w:szCs w:val="22"/>
          <w:lang w:val="sv-SE"/>
        </w:rPr>
        <w:t xml:space="preserve">Abdul Hakim Garuda </w:t>
      </w:r>
      <w:r w:rsidR="001030A6" w:rsidRPr="00BB211C">
        <w:rPr>
          <w:rFonts w:asciiTheme="majorBidi" w:hAnsiTheme="majorBidi" w:cstheme="majorBidi"/>
          <w:sz w:val="22"/>
          <w:szCs w:val="22"/>
        </w:rPr>
        <w:t xml:space="preserve">Nusantara </w:t>
      </w:r>
      <w:r w:rsidRPr="00BB211C">
        <w:rPr>
          <w:rFonts w:asciiTheme="majorBidi" w:hAnsiTheme="majorBidi" w:cstheme="majorBidi"/>
          <w:sz w:val="22"/>
          <w:szCs w:val="22"/>
          <w:lang w:val="sv-SE"/>
        </w:rPr>
        <w:t xml:space="preserve">berpendapat bahwa politik hukum adalah </w:t>
      </w:r>
      <w:r w:rsidRPr="00BB211C">
        <w:rPr>
          <w:rFonts w:asciiTheme="majorBidi" w:hAnsiTheme="majorBidi" w:cstheme="majorBidi"/>
          <w:i/>
          <w:sz w:val="22"/>
          <w:szCs w:val="22"/>
          <w:lang w:val="sv-SE"/>
        </w:rPr>
        <w:t xml:space="preserve">legal </w:t>
      </w:r>
      <w:r w:rsidRPr="00BB211C">
        <w:rPr>
          <w:rFonts w:asciiTheme="majorBidi" w:hAnsiTheme="majorBidi" w:cstheme="majorBidi"/>
          <w:sz w:val="22"/>
          <w:szCs w:val="22"/>
          <w:lang w:val="sv-SE"/>
        </w:rPr>
        <w:t>policy yang akan atau telah dilaksanakan secara nasional oleh Pemerintah Indonesia yang meliputi : (1) pembangunan hukum yang berintikan pembuatan dan pembaruan terhadap materi-materi hukum agar dapat sesuai dengan kebutuhan; (2) pelaksanaan ketentuan hukum yang telah ada termasuk penegasan fungsi lembaga dan pembinaan para penegak hukum</w:t>
      </w:r>
      <w:r w:rsidR="00E03710" w:rsidRPr="00BB211C">
        <w:rPr>
          <w:rFonts w:asciiTheme="majorBidi" w:hAnsiTheme="majorBidi" w:cstheme="majorBidi"/>
          <w:sz w:val="22"/>
          <w:szCs w:val="22"/>
          <w:lang w:val="sv-SE"/>
        </w:rPr>
        <w:t xml:space="preserve"> </w:t>
      </w:r>
      <w:r w:rsidR="00712ED2">
        <w:rPr>
          <w:rStyle w:val="FootnoteReference"/>
          <w:rFonts w:asciiTheme="majorBidi" w:hAnsiTheme="majorBidi" w:cstheme="majorBidi"/>
          <w:sz w:val="22"/>
          <w:szCs w:val="22"/>
          <w:lang w:val="sv-SE"/>
        </w:rPr>
        <w:footnoteReference w:id="28"/>
      </w:r>
      <w:r w:rsidRPr="00BB211C">
        <w:rPr>
          <w:rFonts w:asciiTheme="majorBidi" w:hAnsiTheme="majorBidi" w:cstheme="majorBidi"/>
          <w:sz w:val="22"/>
          <w:szCs w:val="22"/>
          <w:lang w:val="sv-SE"/>
        </w:rPr>
        <w:t>.</w:t>
      </w:r>
      <w:r w:rsidR="001030A6" w:rsidRPr="00BB211C">
        <w:rPr>
          <w:rFonts w:asciiTheme="majorBidi" w:hAnsiTheme="majorBidi" w:cstheme="majorBidi"/>
          <w:sz w:val="22"/>
          <w:szCs w:val="22"/>
        </w:rPr>
        <w:t xml:space="preserve"> Di sini pembangunan hukum itu terus menerus dilakukan dengan melihat apa yang telah dilakukan, serta memperbaiki kekurangan untuk kesempurnaan di masa mendatang.</w:t>
      </w:r>
    </w:p>
    <w:p w14:paraId="791F2EC9" w14:textId="78D5E6DB" w:rsidR="003611A5" w:rsidRPr="00BB211C" w:rsidRDefault="00506A2F" w:rsidP="00DE13B6">
      <w:pPr>
        <w:spacing w:before="0" w:beforeAutospacing="0" w:after="0" w:afterAutospacing="0" w:line="240" w:lineRule="auto"/>
        <w:ind w:firstLine="567"/>
        <w:jc w:val="both"/>
        <w:rPr>
          <w:rFonts w:asciiTheme="majorBidi" w:hAnsiTheme="majorBidi" w:cstheme="majorBidi"/>
          <w:sz w:val="22"/>
          <w:szCs w:val="22"/>
          <w:lang w:val="en-US"/>
        </w:rPr>
      </w:pPr>
      <w:r w:rsidRPr="00BB211C">
        <w:rPr>
          <w:rFonts w:asciiTheme="majorBidi" w:hAnsiTheme="majorBidi" w:cstheme="majorBidi"/>
          <w:sz w:val="22"/>
          <w:szCs w:val="22"/>
          <w:lang w:val="sv-SE"/>
        </w:rPr>
        <w:t>Berdasarkan penjelasan yang dikemukakan para pakar hukum di atas dapat disimpulkan bahwa politik hukum adalah hukum atau norma yang diproduk oleh negara/penguasa termasuk parlemen mengenai orientasi hukum yang tidak dapat dipisahkan dengan konfigurasi kekuasaan pada masa itu.</w:t>
      </w:r>
      <w:r w:rsidR="001030A6" w:rsidRPr="00BB211C">
        <w:rPr>
          <w:rFonts w:asciiTheme="majorBidi" w:hAnsiTheme="majorBidi" w:cstheme="majorBidi"/>
          <w:sz w:val="22"/>
          <w:szCs w:val="22"/>
        </w:rPr>
        <w:t xml:space="preserve"> Akan tetapi juga idealnya harus memperhatikan perkembangan masyarakat.</w:t>
      </w:r>
      <w:r w:rsidR="00C51E6E" w:rsidRPr="00BB211C">
        <w:rPr>
          <w:rFonts w:asciiTheme="majorBidi" w:hAnsiTheme="majorBidi" w:cstheme="majorBidi"/>
          <w:sz w:val="22"/>
          <w:szCs w:val="22"/>
        </w:rPr>
        <w:t xml:space="preserve"> Masyarakat  Aceh pada waktu itu dan juga sebelumnya menghenda</w:t>
      </w:r>
      <w:r w:rsidR="003611A5" w:rsidRPr="00BB211C">
        <w:rPr>
          <w:rFonts w:asciiTheme="majorBidi" w:hAnsiTheme="majorBidi" w:cstheme="majorBidi"/>
          <w:sz w:val="22"/>
          <w:szCs w:val="22"/>
        </w:rPr>
        <w:t>k</w:t>
      </w:r>
      <w:r w:rsidR="00C51E6E" w:rsidRPr="00BB211C">
        <w:rPr>
          <w:rFonts w:asciiTheme="majorBidi" w:hAnsiTheme="majorBidi" w:cstheme="majorBidi"/>
          <w:sz w:val="22"/>
          <w:szCs w:val="22"/>
        </w:rPr>
        <w:t xml:space="preserve">i berlakunya syariat Islam di Aceh </w:t>
      </w:r>
      <w:r w:rsidR="007147F1" w:rsidRPr="00BB211C">
        <w:rPr>
          <w:rFonts w:asciiTheme="majorBidi" w:hAnsiTheme="majorBidi" w:cstheme="majorBidi"/>
          <w:sz w:val="22"/>
          <w:szCs w:val="22"/>
        </w:rPr>
        <w:t xml:space="preserve"> Apa pun cara akan dilakukan untuk  penerapan syariat islam</w:t>
      </w:r>
      <w:r w:rsidR="00C51E6E" w:rsidRPr="00BB211C">
        <w:rPr>
          <w:rFonts w:asciiTheme="majorBidi" w:hAnsiTheme="majorBidi" w:cstheme="majorBidi"/>
          <w:sz w:val="22"/>
          <w:szCs w:val="22"/>
        </w:rPr>
        <w:t xml:space="preserve"> tersebut</w:t>
      </w:r>
      <w:r w:rsidR="003611A5" w:rsidRPr="00BB211C">
        <w:rPr>
          <w:rFonts w:asciiTheme="majorBidi" w:hAnsiTheme="majorBidi" w:cstheme="majorBidi"/>
          <w:sz w:val="22"/>
          <w:szCs w:val="22"/>
        </w:rPr>
        <w:t xml:space="preserve">. </w:t>
      </w:r>
      <w:r w:rsidR="003611A5" w:rsidRPr="00BB211C">
        <w:rPr>
          <w:rFonts w:asciiTheme="majorBidi" w:hAnsiTheme="majorBidi" w:cstheme="majorBidi"/>
          <w:sz w:val="22"/>
          <w:szCs w:val="22"/>
          <w:lang w:val="en-US"/>
        </w:rPr>
        <w:t>Akhyar menyebutkan</w:t>
      </w:r>
      <w:r w:rsidR="00E03710" w:rsidRPr="00BB211C">
        <w:rPr>
          <w:rFonts w:asciiTheme="majorBidi" w:hAnsiTheme="majorBidi" w:cstheme="majorBidi"/>
          <w:sz w:val="22"/>
          <w:szCs w:val="22"/>
        </w:rPr>
        <w:t xml:space="preserve"> </w:t>
      </w:r>
      <w:r w:rsidR="00712ED2">
        <w:rPr>
          <w:rStyle w:val="FootnoteReference"/>
          <w:rFonts w:asciiTheme="majorBidi" w:hAnsiTheme="majorBidi" w:cstheme="majorBidi"/>
          <w:sz w:val="22"/>
          <w:szCs w:val="22"/>
        </w:rPr>
        <w:footnoteReference w:id="29"/>
      </w:r>
      <w:r w:rsidR="003611A5" w:rsidRPr="00BB211C">
        <w:rPr>
          <w:rFonts w:asciiTheme="majorBidi" w:hAnsiTheme="majorBidi" w:cstheme="majorBidi"/>
          <w:sz w:val="22"/>
          <w:szCs w:val="22"/>
          <w:lang w:val="en-US"/>
        </w:rPr>
        <w:t xml:space="preserve">: </w:t>
      </w:r>
      <w:r w:rsidR="007147F1" w:rsidRPr="00BB211C">
        <w:rPr>
          <w:rFonts w:asciiTheme="majorBidi" w:hAnsiTheme="majorBidi" w:cstheme="majorBidi"/>
          <w:sz w:val="22"/>
          <w:szCs w:val="22"/>
          <w:lang w:val="en-US"/>
        </w:rPr>
        <w:t>M</w:t>
      </w:r>
      <w:r w:rsidR="007147F1" w:rsidRPr="00BB211C">
        <w:rPr>
          <w:rFonts w:asciiTheme="majorBidi" w:hAnsiTheme="majorBidi" w:cstheme="majorBidi"/>
          <w:sz w:val="22"/>
          <w:szCs w:val="22"/>
        </w:rPr>
        <w:t xml:space="preserve">asyarakat Aceh menuntut pemberlakuan hukum Syariat Islam di wilayah Aceh. Karena Syariat Islam merupakan serangkaian norma agama yang bersifat imperatif bagi meraka, dimana syariat Islam yang mewajibkan umatnya untuk melaksanakan seluruh ajaran agamanya secara menyeluruh, integral dan komprehensip, dalam segala aspek kehidupan tidak terkecuali masyarakat Aceh. </w:t>
      </w:r>
      <w:r w:rsidR="003611A5" w:rsidRPr="00BB211C">
        <w:rPr>
          <w:rFonts w:asciiTheme="majorBidi" w:hAnsiTheme="majorBidi" w:cstheme="majorBidi"/>
          <w:sz w:val="22"/>
          <w:szCs w:val="22"/>
          <w:lang w:val="en-US"/>
        </w:rPr>
        <w:t>Adanya kekhawatiran akan penerpan  syariat islam melalui qanun Jinayat kepada semua orang yang berada di Aceh, disiasati dengan penundukan diri ini</w:t>
      </w:r>
    </w:p>
    <w:p w14:paraId="095328BD" w14:textId="77777777" w:rsidR="007B1B5F" w:rsidRPr="00BB211C" w:rsidRDefault="003611A5" w:rsidP="007B1B5F">
      <w:pPr>
        <w:spacing w:before="0" w:beforeAutospacing="0" w:after="0" w:afterAutospacing="0" w:line="240" w:lineRule="auto"/>
        <w:ind w:firstLine="567"/>
        <w:jc w:val="both"/>
        <w:rPr>
          <w:rFonts w:asciiTheme="majorBidi" w:hAnsiTheme="majorBidi" w:cstheme="majorBidi"/>
          <w:sz w:val="22"/>
          <w:szCs w:val="22"/>
          <w:lang w:val="en-US"/>
        </w:rPr>
      </w:pPr>
      <w:r w:rsidRPr="00BB211C">
        <w:rPr>
          <w:rFonts w:asciiTheme="majorBidi" w:hAnsiTheme="majorBidi" w:cstheme="majorBidi"/>
          <w:sz w:val="22"/>
          <w:szCs w:val="22"/>
          <w:lang w:val="en-US"/>
        </w:rPr>
        <w:t>Poli</w:t>
      </w:r>
      <w:r w:rsidR="00506A2F" w:rsidRPr="00BB211C">
        <w:rPr>
          <w:rFonts w:asciiTheme="majorBidi" w:hAnsiTheme="majorBidi" w:cstheme="majorBidi"/>
          <w:sz w:val="22"/>
          <w:szCs w:val="22"/>
        </w:rPr>
        <w:t>tik hukum sangat menentukan di d</w:t>
      </w:r>
      <w:r w:rsidR="005D3284" w:rsidRPr="00BB211C">
        <w:rPr>
          <w:rFonts w:asciiTheme="majorBidi" w:hAnsiTheme="majorBidi" w:cstheme="majorBidi"/>
          <w:sz w:val="22"/>
          <w:szCs w:val="22"/>
          <w:lang w:val="en-US"/>
        </w:rPr>
        <w:t>a</w:t>
      </w:r>
      <w:r w:rsidR="00506A2F" w:rsidRPr="00BB211C">
        <w:rPr>
          <w:rFonts w:asciiTheme="majorBidi" w:hAnsiTheme="majorBidi" w:cstheme="majorBidi"/>
          <w:sz w:val="22"/>
          <w:szCs w:val="22"/>
        </w:rPr>
        <w:t xml:space="preserve">lam perumusan norma, sehingga norma tersebut, dapat memenuhi dasar berlakunya sebuah peraturan perundang-undangan, yaitu landasan filosofis, sosiologis dan yuridis. Kondisi tertentu di dalam masyarakat tentu tidak terjadi secara spontan yang </w:t>
      </w:r>
      <w:r w:rsidR="00506A2F" w:rsidRPr="00BB211C">
        <w:rPr>
          <w:rFonts w:asciiTheme="majorBidi" w:hAnsiTheme="majorBidi" w:cstheme="majorBidi"/>
          <w:sz w:val="22"/>
          <w:szCs w:val="22"/>
        </w:rPr>
        <w:lastRenderedPageBreak/>
        <w:t>terlepas dari nilai-nilai yang dianut oleh masyarakat  bersangkutan</w:t>
      </w:r>
      <w:r w:rsidR="005D3284" w:rsidRPr="00BB211C">
        <w:rPr>
          <w:rFonts w:asciiTheme="majorBidi" w:hAnsiTheme="majorBidi" w:cstheme="majorBidi"/>
          <w:sz w:val="22"/>
          <w:szCs w:val="22"/>
          <w:lang w:val="en-US"/>
        </w:rPr>
        <w:t>,</w:t>
      </w:r>
      <w:r w:rsidR="00506A2F" w:rsidRPr="00BB211C">
        <w:rPr>
          <w:rFonts w:asciiTheme="majorBidi" w:hAnsiTheme="majorBidi" w:cstheme="majorBidi"/>
          <w:sz w:val="22"/>
          <w:szCs w:val="22"/>
        </w:rPr>
        <w:t xml:space="preserve"> akan tetapi tetap berdasarkan filosofi yang dianut dan pe</w:t>
      </w:r>
      <w:r w:rsidR="00681363" w:rsidRPr="00BB211C">
        <w:rPr>
          <w:rFonts w:asciiTheme="majorBidi" w:hAnsiTheme="majorBidi" w:cstheme="majorBidi"/>
          <w:sz w:val="22"/>
          <w:szCs w:val="22"/>
        </w:rPr>
        <w:t>rkembangannya merupakan landasa</w:t>
      </w:r>
      <w:r w:rsidR="00506A2F" w:rsidRPr="00BB211C">
        <w:rPr>
          <w:rFonts w:asciiTheme="majorBidi" w:hAnsiTheme="majorBidi" w:cstheme="majorBidi"/>
          <w:sz w:val="22"/>
          <w:szCs w:val="22"/>
        </w:rPr>
        <w:t>n sosiologis y</w:t>
      </w:r>
      <w:r w:rsidRPr="00BB211C">
        <w:rPr>
          <w:rFonts w:asciiTheme="majorBidi" w:hAnsiTheme="majorBidi" w:cstheme="majorBidi"/>
          <w:sz w:val="22"/>
          <w:szCs w:val="22"/>
          <w:lang w:val="en-US"/>
        </w:rPr>
        <w:t>a</w:t>
      </w:r>
      <w:r w:rsidR="00506A2F" w:rsidRPr="00BB211C">
        <w:rPr>
          <w:rFonts w:asciiTheme="majorBidi" w:hAnsiTheme="majorBidi" w:cstheme="majorBidi"/>
          <w:sz w:val="22"/>
          <w:szCs w:val="22"/>
        </w:rPr>
        <w:t>ng membuat peraturan perundang-undangan dapat dilaksanakan.</w:t>
      </w:r>
      <w:r w:rsidR="005D3284" w:rsidRPr="00BB211C">
        <w:rPr>
          <w:rFonts w:asciiTheme="majorBidi" w:hAnsiTheme="majorBidi" w:cstheme="majorBidi"/>
          <w:sz w:val="22"/>
          <w:szCs w:val="22"/>
          <w:lang w:val="en-US"/>
        </w:rPr>
        <w:t xml:space="preserve"> Penundukan diri di dalam Qanun hukum Jinayat, haruslah dikaitkan dengan tujuan penegakan syariat</w:t>
      </w:r>
      <w:r w:rsidR="00681363" w:rsidRPr="00BB211C">
        <w:rPr>
          <w:rFonts w:asciiTheme="majorBidi" w:hAnsiTheme="majorBidi" w:cstheme="majorBidi"/>
          <w:sz w:val="22"/>
          <w:szCs w:val="22"/>
          <w:lang w:val="en-US"/>
        </w:rPr>
        <w:t xml:space="preserve"> Is</w:t>
      </w:r>
      <w:r w:rsidR="005D3284" w:rsidRPr="00BB211C">
        <w:rPr>
          <w:rFonts w:asciiTheme="majorBidi" w:hAnsiTheme="majorBidi" w:cstheme="majorBidi"/>
          <w:sz w:val="22"/>
          <w:szCs w:val="22"/>
          <w:lang w:val="en-US"/>
        </w:rPr>
        <w:t>lam yang s</w:t>
      </w:r>
      <w:r w:rsidR="007147F1" w:rsidRPr="00BB211C">
        <w:rPr>
          <w:rFonts w:asciiTheme="majorBidi" w:hAnsiTheme="majorBidi" w:cstheme="majorBidi"/>
          <w:sz w:val="22"/>
          <w:szCs w:val="22"/>
          <w:lang w:val="en-US"/>
        </w:rPr>
        <w:t>ud</w:t>
      </w:r>
      <w:r w:rsidR="005D3284" w:rsidRPr="00BB211C">
        <w:rPr>
          <w:rFonts w:asciiTheme="majorBidi" w:hAnsiTheme="majorBidi" w:cstheme="majorBidi"/>
          <w:sz w:val="22"/>
          <w:szCs w:val="22"/>
          <w:lang w:val="en-US"/>
        </w:rPr>
        <w:t>ah mendapat</w:t>
      </w:r>
      <w:r w:rsidR="001030A6" w:rsidRPr="00BB211C">
        <w:rPr>
          <w:rFonts w:asciiTheme="majorBidi" w:hAnsiTheme="majorBidi" w:cstheme="majorBidi"/>
          <w:sz w:val="22"/>
          <w:szCs w:val="22"/>
        </w:rPr>
        <w:t xml:space="preserve"> </w:t>
      </w:r>
      <w:r w:rsidR="005D3284" w:rsidRPr="00BB211C">
        <w:rPr>
          <w:rFonts w:asciiTheme="majorBidi" w:hAnsiTheme="majorBidi" w:cstheme="majorBidi"/>
          <w:sz w:val="22"/>
          <w:szCs w:val="22"/>
          <w:lang w:val="en-US"/>
        </w:rPr>
        <w:t>tempat, bahkan sebagai Amanah dari konstitusi.</w:t>
      </w:r>
      <w:r w:rsidRPr="00BB211C">
        <w:rPr>
          <w:rFonts w:asciiTheme="majorBidi" w:hAnsiTheme="majorBidi" w:cstheme="majorBidi"/>
          <w:sz w:val="22"/>
          <w:szCs w:val="22"/>
          <w:lang w:val="en-US"/>
        </w:rPr>
        <w:t xml:space="preserve"> </w:t>
      </w:r>
    </w:p>
    <w:p w14:paraId="37CD037B" w14:textId="6EAD8F54" w:rsidR="00DD3F05" w:rsidRPr="00BB211C" w:rsidRDefault="005D3284" w:rsidP="007B1B5F">
      <w:pPr>
        <w:spacing w:before="0" w:beforeAutospacing="0" w:after="0" w:afterAutospacing="0" w:line="240" w:lineRule="auto"/>
        <w:ind w:firstLine="567"/>
        <w:jc w:val="both"/>
        <w:rPr>
          <w:rFonts w:asciiTheme="majorBidi" w:hAnsiTheme="majorBidi" w:cstheme="majorBidi"/>
          <w:sz w:val="22"/>
          <w:szCs w:val="22"/>
        </w:rPr>
      </w:pPr>
      <w:r w:rsidRPr="00BB211C">
        <w:rPr>
          <w:rFonts w:asciiTheme="majorBidi" w:hAnsiTheme="majorBidi" w:cstheme="majorBidi"/>
          <w:sz w:val="22"/>
          <w:szCs w:val="22"/>
          <w:lang w:val="en-US"/>
        </w:rPr>
        <w:t>Penundukan diri di dalam Qanun hukum jinayat</w:t>
      </w:r>
      <w:r w:rsidR="0022604B" w:rsidRPr="00BB211C">
        <w:rPr>
          <w:rFonts w:asciiTheme="majorBidi" w:hAnsiTheme="majorBidi" w:cstheme="majorBidi"/>
          <w:sz w:val="22"/>
          <w:szCs w:val="22"/>
          <w:lang w:val="en-US"/>
        </w:rPr>
        <w:t xml:space="preserve">, seperti disebutkan tadi, </w:t>
      </w:r>
      <w:r w:rsidRPr="00BB211C">
        <w:rPr>
          <w:rFonts w:asciiTheme="majorBidi" w:hAnsiTheme="majorBidi" w:cstheme="majorBidi"/>
          <w:sz w:val="22"/>
          <w:szCs w:val="22"/>
          <w:lang w:val="en-US"/>
        </w:rPr>
        <w:t xml:space="preserve"> adalah turunan dari Undang-undang </w:t>
      </w:r>
      <w:r w:rsidR="00322AF7" w:rsidRPr="00BB211C">
        <w:rPr>
          <w:rFonts w:asciiTheme="majorBidi" w:hAnsiTheme="majorBidi" w:cstheme="majorBidi"/>
          <w:sz w:val="22"/>
          <w:szCs w:val="22"/>
          <w:lang w:val="en-US"/>
        </w:rPr>
        <w:t xml:space="preserve">Nomor </w:t>
      </w:r>
      <w:r w:rsidRPr="00BB211C">
        <w:rPr>
          <w:rFonts w:asciiTheme="majorBidi" w:hAnsiTheme="majorBidi" w:cstheme="majorBidi"/>
          <w:sz w:val="22"/>
          <w:szCs w:val="22"/>
          <w:lang w:val="en-US"/>
        </w:rPr>
        <w:t>11 tahun 2006, bahkan pasal qanun hukum jinayat terkait penundukan diri itu</w:t>
      </w:r>
      <w:r w:rsidR="009876D6" w:rsidRPr="00BB211C">
        <w:rPr>
          <w:rFonts w:asciiTheme="majorBidi" w:hAnsiTheme="majorBidi" w:cstheme="majorBidi"/>
          <w:sz w:val="22"/>
          <w:szCs w:val="22"/>
          <w:lang w:val="en-US"/>
        </w:rPr>
        <w:t xml:space="preserve"> hamp</w:t>
      </w:r>
      <w:r w:rsidR="00A1708E" w:rsidRPr="00BB211C">
        <w:rPr>
          <w:rFonts w:asciiTheme="majorBidi" w:hAnsiTheme="majorBidi" w:cstheme="majorBidi"/>
          <w:sz w:val="22"/>
          <w:szCs w:val="22"/>
          <w:lang w:val="en-US"/>
        </w:rPr>
        <w:t>i</w:t>
      </w:r>
      <w:r w:rsidR="009876D6" w:rsidRPr="00BB211C">
        <w:rPr>
          <w:rFonts w:asciiTheme="majorBidi" w:hAnsiTheme="majorBidi" w:cstheme="majorBidi"/>
          <w:sz w:val="22"/>
          <w:szCs w:val="22"/>
          <w:lang w:val="en-US"/>
        </w:rPr>
        <w:t xml:space="preserve">r </w:t>
      </w:r>
      <w:r w:rsidRPr="00BB211C">
        <w:rPr>
          <w:rFonts w:asciiTheme="majorBidi" w:hAnsiTheme="majorBidi" w:cstheme="majorBidi"/>
          <w:sz w:val="22"/>
          <w:szCs w:val="22"/>
          <w:lang w:val="en-US"/>
        </w:rPr>
        <w:t xml:space="preserve"> sama  seperti rumusan di dalam Undang-undang No 11 tahun 2006 tentang pemerintah Aceh. </w:t>
      </w:r>
      <w:r w:rsidR="009876D6" w:rsidRPr="00BB211C">
        <w:rPr>
          <w:rFonts w:asciiTheme="majorBidi" w:hAnsiTheme="majorBidi" w:cstheme="majorBidi"/>
          <w:sz w:val="22"/>
          <w:szCs w:val="22"/>
        </w:rPr>
        <w:t xml:space="preserve">Pasal 129 </w:t>
      </w:r>
      <w:r w:rsidR="009876D6" w:rsidRPr="00BB211C">
        <w:rPr>
          <w:rFonts w:asciiTheme="majorBidi" w:hAnsiTheme="majorBidi" w:cstheme="majorBidi"/>
          <w:sz w:val="22"/>
          <w:szCs w:val="22"/>
          <w:lang w:val="en-US"/>
        </w:rPr>
        <w:t xml:space="preserve"> </w:t>
      </w:r>
      <w:r w:rsidR="009876D6" w:rsidRPr="00BB211C">
        <w:rPr>
          <w:rFonts w:asciiTheme="majorBidi" w:hAnsiTheme="majorBidi" w:cstheme="majorBidi"/>
          <w:sz w:val="22"/>
          <w:szCs w:val="22"/>
        </w:rPr>
        <w:t xml:space="preserve">Undang-Undang Nomor 11 Tahun 2006 tentang Pemerintahan Aceh, yang </w:t>
      </w:r>
      <w:r w:rsidR="00A1708E" w:rsidRPr="00BB211C">
        <w:rPr>
          <w:rFonts w:asciiTheme="majorBidi" w:hAnsiTheme="majorBidi" w:cstheme="majorBidi"/>
          <w:sz w:val="22"/>
          <w:szCs w:val="22"/>
          <w:lang w:val="en-US"/>
        </w:rPr>
        <w:t>pada ayat</w:t>
      </w:r>
      <w:r w:rsidR="009876D6" w:rsidRPr="00BB211C">
        <w:rPr>
          <w:rFonts w:asciiTheme="majorBidi" w:hAnsiTheme="majorBidi" w:cstheme="majorBidi"/>
          <w:sz w:val="22"/>
          <w:szCs w:val="22"/>
          <w:lang w:val="en-US"/>
        </w:rPr>
        <w:t xml:space="preserve"> (1) menyatakan </w:t>
      </w:r>
      <w:r w:rsidR="009876D6" w:rsidRPr="00BB211C">
        <w:rPr>
          <w:rFonts w:asciiTheme="majorBidi" w:hAnsiTheme="majorBidi" w:cstheme="majorBidi"/>
          <w:sz w:val="22"/>
          <w:szCs w:val="22"/>
        </w:rPr>
        <w:t xml:space="preserve"> bahwa :</w:t>
      </w:r>
      <w:r w:rsidR="009876D6" w:rsidRPr="00BB211C">
        <w:rPr>
          <w:rFonts w:asciiTheme="majorBidi" w:hAnsiTheme="majorBidi" w:cstheme="majorBidi"/>
          <w:sz w:val="22"/>
          <w:szCs w:val="22"/>
          <w:lang w:val="en-US"/>
        </w:rPr>
        <w:t xml:space="preserve"> “</w:t>
      </w:r>
      <w:r w:rsidR="009876D6" w:rsidRPr="00BB211C">
        <w:rPr>
          <w:rFonts w:asciiTheme="majorBidi" w:hAnsiTheme="majorBidi" w:cstheme="majorBidi"/>
          <w:sz w:val="22"/>
          <w:szCs w:val="22"/>
        </w:rPr>
        <w:t>Dalam hal terjadi perbuatan jinayah yang dilakukan oleh dua orang atau lebih secara bersama-sama yang di antaranya beragama bukan Islam, pelaku yang beragama bukan Islam dapat memilih dan menundukkan diri secara sukarela pada hukum jinayah</w:t>
      </w:r>
      <w:r w:rsidR="009876D6" w:rsidRPr="00BB211C">
        <w:rPr>
          <w:rFonts w:asciiTheme="majorBidi" w:hAnsiTheme="majorBidi" w:cstheme="majorBidi"/>
          <w:sz w:val="22"/>
          <w:szCs w:val="22"/>
          <w:lang w:val="en-US"/>
        </w:rPr>
        <w:t>”</w:t>
      </w:r>
      <w:r w:rsidR="009876D6" w:rsidRPr="00BB211C">
        <w:rPr>
          <w:rFonts w:asciiTheme="majorBidi" w:hAnsiTheme="majorBidi" w:cstheme="majorBidi"/>
          <w:sz w:val="22"/>
          <w:szCs w:val="22"/>
        </w:rPr>
        <w:t xml:space="preserve">. Berdasarkan ketentuan ini, maka </w:t>
      </w:r>
      <w:r w:rsidR="009478D0" w:rsidRPr="00BB211C">
        <w:rPr>
          <w:rFonts w:asciiTheme="majorBidi" w:hAnsiTheme="majorBidi" w:cstheme="majorBidi"/>
          <w:sz w:val="22"/>
          <w:szCs w:val="22"/>
        </w:rPr>
        <w:t xml:space="preserve"> dapat dikatakan bahwa dasar hukum penundukan diri itu bukanlah Qanun hukum jinayat, m</w:t>
      </w:r>
      <w:r w:rsidR="00F06520" w:rsidRPr="00BB211C">
        <w:rPr>
          <w:rFonts w:asciiTheme="majorBidi" w:hAnsiTheme="majorBidi" w:cstheme="majorBidi"/>
          <w:sz w:val="22"/>
          <w:szCs w:val="22"/>
        </w:rPr>
        <w:t>e</w:t>
      </w:r>
      <w:r w:rsidR="009478D0" w:rsidRPr="00BB211C">
        <w:rPr>
          <w:rFonts w:asciiTheme="majorBidi" w:hAnsiTheme="majorBidi" w:cstheme="majorBidi"/>
          <w:sz w:val="22"/>
          <w:szCs w:val="22"/>
        </w:rPr>
        <w:t>lainkan UU</w:t>
      </w:r>
      <w:r w:rsidR="00F06520" w:rsidRPr="00BB211C">
        <w:rPr>
          <w:rFonts w:asciiTheme="majorBidi" w:hAnsiTheme="majorBidi" w:cstheme="majorBidi"/>
          <w:sz w:val="22"/>
          <w:szCs w:val="22"/>
        </w:rPr>
        <w:t xml:space="preserve"> Nomor </w:t>
      </w:r>
      <w:r w:rsidR="009478D0" w:rsidRPr="00BB211C">
        <w:rPr>
          <w:rFonts w:asciiTheme="majorBidi" w:hAnsiTheme="majorBidi" w:cstheme="majorBidi"/>
          <w:sz w:val="22"/>
          <w:szCs w:val="22"/>
        </w:rPr>
        <w:t>11</w:t>
      </w:r>
      <w:r w:rsidR="00F06520" w:rsidRPr="00BB211C">
        <w:rPr>
          <w:rFonts w:asciiTheme="majorBidi" w:hAnsiTheme="majorBidi" w:cstheme="majorBidi"/>
          <w:sz w:val="22"/>
          <w:szCs w:val="22"/>
        </w:rPr>
        <w:t xml:space="preserve"> Tahub 200</w:t>
      </w:r>
      <w:r w:rsidR="009478D0" w:rsidRPr="00BB211C">
        <w:rPr>
          <w:rFonts w:asciiTheme="majorBidi" w:hAnsiTheme="majorBidi" w:cstheme="majorBidi"/>
          <w:sz w:val="22"/>
          <w:szCs w:val="22"/>
        </w:rPr>
        <w:t>6.</w:t>
      </w:r>
      <w:r w:rsidR="009876D6" w:rsidRPr="00BB211C">
        <w:rPr>
          <w:rFonts w:asciiTheme="majorBidi" w:hAnsiTheme="majorBidi" w:cstheme="majorBidi"/>
          <w:sz w:val="22"/>
          <w:szCs w:val="22"/>
        </w:rPr>
        <w:t xml:space="preserve"> Ketentuan seperti ini juga akan </w:t>
      </w:r>
      <w:r w:rsidR="009478D0" w:rsidRPr="00BB211C">
        <w:rPr>
          <w:rFonts w:asciiTheme="majorBidi" w:hAnsiTheme="majorBidi" w:cstheme="majorBidi"/>
          <w:sz w:val="22"/>
          <w:szCs w:val="22"/>
        </w:rPr>
        <w:t xml:space="preserve"> terkait dengan kewenangan Mahkamah Syar`iyah untuk mengadili orang non-</w:t>
      </w:r>
      <w:r w:rsidR="00053E82" w:rsidRPr="00BB211C">
        <w:rPr>
          <w:rFonts w:asciiTheme="majorBidi" w:hAnsiTheme="majorBidi" w:cstheme="majorBidi"/>
          <w:sz w:val="22"/>
          <w:szCs w:val="22"/>
        </w:rPr>
        <w:t>M</w:t>
      </w:r>
      <w:r w:rsidR="009478D0" w:rsidRPr="00BB211C">
        <w:rPr>
          <w:rFonts w:asciiTheme="majorBidi" w:hAnsiTheme="majorBidi" w:cstheme="majorBidi"/>
          <w:sz w:val="22"/>
          <w:szCs w:val="22"/>
        </w:rPr>
        <w:t>uslim di Aceh</w:t>
      </w:r>
      <w:r w:rsidR="009876D6" w:rsidRPr="00BB211C">
        <w:rPr>
          <w:rFonts w:asciiTheme="majorBidi" w:hAnsiTheme="majorBidi" w:cstheme="majorBidi"/>
          <w:sz w:val="22"/>
          <w:szCs w:val="22"/>
        </w:rPr>
        <w:t>, karena proses peradilan jinayat akan dilakukan melalui Mahkamah Syar’iyah.</w:t>
      </w:r>
    </w:p>
    <w:p w14:paraId="42273F29" w14:textId="6A9DE692" w:rsidR="000B1040" w:rsidRPr="00BB211C" w:rsidRDefault="003F7AF7" w:rsidP="00DE13B6">
      <w:pPr>
        <w:spacing w:before="0" w:beforeAutospacing="0" w:after="0" w:afterAutospacing="0" w:line="240" w:lineRule="auto"/>
        <w:ind w:firstLine="720"/>
        <w:jc w:val="both"/>
        <w:rPr>
          <w:rFonts w:asciiTheme="majorBidi" w:eastAsia="Arial" w:hAnsiTheme="majorBidi" w:cstheme="majorBidi"/>
          <w:sz w:val="22"/>
          <w:szCs w:val="22"/>
          <w:lang w:val="en-US"/>
        </w:rPr>
      </w:pPr>
      <w:r w:rsidRPr="00BB211C">
        <w:rPr>
          <w:rFonts w:asciiTheme="majorBidi" w:hAnsiTheme="majorBidi" w:cstheme="majorBidi"/>
          <w:sz w:val="22"/>
          <w:szCs w:val="22"/>
          <w:lang w:val="en-US"/>
        </w:rPr>
        <w:t xml:space="preserve">Pada dasarnya </w:t>
      </w:r>
      <w:r w:rsidR="000B1040" w:rsidRPr="00BB211C">
        <w:rPr>
          <w:rFonts w:asciiTheme="majorBidi" w:hAnsiTheme="majorBidi" w:cstheme="majorBidi"/>
          <w:sz w:val="22"/>
          <w:szCs w:val="22"/>
        </w:rPr>
        <w:t xml:space="preserve">Mahkamah Syar`iyah </w:t>
      </w:r>
      <w:r w:rsidR="000B1040" w:rsidRPr="00BB211C">
        <w:rPr>
          <w:rFonts w:asciiTheme="majorBidi" w:hAnsiTheme="majorBidi" w:cstheme="majorBidi"/>
          <w:sz w:val="22"/>
          <w:szCs w:val="22"/>
          <w:lang w:val="en-US"/>
        </w:rPr>
        <w:t>diseb</w:t>
      </w:r>
      <w:r w:rsidR="000B1040" w:rsidRPr="00BB211C">
        <w:rPr>
          <w:rFonts w:asciiTheme="majorBidi" w:hAnsiTheme="majorBidi" w:cstheme="majorBidi"/>
          <w:sz w:val="22"/>
          <w:szCs w:val="22"/>
        </w:rPr>
        <w:t>u</w:t>
      </w:r>
      <w:r w:rsidR="000B1040" w:rsidRPr="00BB211C">
        <w:rPr>
          <w:rFonts w:asciiTheme="majorBidi" w:hAnsiTheme="majorBidi" w:cstheme="majorBidi"/>
          <w:sz w:val="22"/>
          <w:szCs w:val="22"/>
          <w:lang w:val="en-US"/>
        </w:rPr>
        <w:t xml:space="preserve">tkan sebagai </w:t>
      </w:r>
      <w:r w:rsidR="000B1040" w:rsidRPr="00BB211C">
        <w:rPr>
          <w:rFonts w:asciiTheme="majorBidi" w:hAnsiTheme="majorBidi" w:cstheme="majorBidi"/>
          <w:sz w:val="22"/>
          <w:szCs w:val="22"/>
        </w:rPr>
        <w:t>pengadilan bagi orang</w:t>
      </w:r>
      <w:r w:rsidR="009E64B5" w:rsidRPr="00BB211C">
        <w:rPr>
          <w:rFonts w:asciiTheme="majorBidi" w:hAnsiTheme="majorBidi" w:cstheme="majorBidi"/>
          <w:sz w:val="22"/>
          <w:szCs w:val="22"/>
        </w:rPr>
        <w:t>-orang</w:t>
      </w:r>
      <w:r w:rsidR="000B1040" w:rsidRPr="00BB211C">
        <w:rPr>
          <w:rFonts w:asciiTheme="majorBidi" w:hAnsiTheme="majorBidi" w:cstheme="majorBidi"/>
          <w:sz w:val="22"/>
          <w:szCs w:val="22"/>
        </w:rPr>
        <w:t xml:space="preserve"> yang beragama Islam dan</w:t>
      </w:r>
      <w:r w:rsidR="009E64B5" w:rsidRPr="00BB211C">
        <w:rPr>
          <w:rFonts w:asciiTheme="majorBidi" w:hAnsiTheme="majorBidi" w:cstheme="majorBidi"/>
          <w:sz w:val="22"/>
          <w:szCs w:val="22"/>
        </w:rPr>
        <w:t xml:space="preserve"> orang tersebut </w:t>
      </w:r>
      <w:r w:rsidR="000B1040" w:rsidRPr="00BB211C">
        <w:rPr>
          <w:rFonts w:asciiTheme="majorBidi" w:hAnsiTheme="majorBidi" w:cstheme="majorBidi"/>
          <w:sz w:val="22"/>
          <w:szCs w:val="22"/>
        </w:rPr>
        <w:t xml:space="preserve"> berada di Aceh</w:t>
      </w:r>
      <w:r w:rsidR="000B1040" w:rsidRPr="00BB211C">
        <w:rPr>
          <w:rFonts w:asciiTheme="majorBidi" w:hAnsiTheme="majorBidi" w:cstheme="majorBidi"/>
          <w:sz w:val="22"/>
          <w:szCs w:val="22"/>
          <w:lang w:val="en-US"/>
        </w:rPr>
        <w:t xml:space="preserve">, </w:t>
      </w:r>
      <w:r w:rsidR="009E64B5" w:rsidRPr="00BB211C">
        <w:rPr>
          <w:rFonts w:asciiTheme="majorBidi" w:hAnsiTheme="majorBidi" w:cstheme="majorBidi"/>
          <w:sz w:val="22"/>
          <w:szCs w:val="22"/>
        </w:rPr>
        <w:t xml:space="preserve">hal ini merupakan ketentuan </w:t>
      </w:r>
      <w:r w:rsidR="000B1040" w:rsidRPr="00BB211C">
        <w:rPr>
          <w:rFonts w:asciiTheme="majorBidi" w:hAnsiTheme="majorBidi" w:cstheme="majorBidi"/>
          <w:sz w:val="22"/>
          <w:szCs w:val="22"/>
          <w:lang w:val="en-US"/>
        </w:rPr>
        <w:t xml:space="preserve">UU 11/06 </w:t>
      </w:r>
      <w:r w:rsidR="000B1040" w:rsidRPr="00BB211C">
        <w:rPr>
          <w:rFonts w:asciiTheme="majorBidi" w:hAnsiTheme="majorBidi" w:cstheme="majorBidi"/>
          <w:sz w:val="22"/>
          <w:szCs w:val="22"/>
        </w:rPr>
        <w:t xml:space="preserve">Pasal 128 ayat (2). </w:t>
      </w:r>
      <w:r w:rsidR="009E64B5" w:rsidRPr="00BB211C">
        <w:rPr>
          <w:rFonts w:asciiTheme="majorBidi" w:hAnsiTheme="majorBidi" w:cstheme="majorBidi"/>
          <w:sz w:val="22"/>
          <w:szCs w:val="22"/>
        </w:rPr>
        <w:t>P</w:t>
      </w:r>
      <w:r w:rsidR="000B1040" w:rsidRPr="00BB211C">
        <w:rPr>
          <w:rFonts w:asciiTheme="majorBidi" w:hAnsiTheme="majorBidi" w:cstheme="majorBidi"/>
          <w:sz w:val="22"/>
          <w:szCs w:val="22"/>
          <w:lang w:val="en-US"/>
        </w:rPr>
        <w:t>enjel</w:t>
      </w:r>
      <w:r w:rsidR="000B1040" w:rsidRPr="00BB211C">
        <w:rPr>
          <w:rFonts w:asciiTheme="majorBidi" w:hAnsiTheme="majorBidi" w:cstheme="majorBidi"/>
          <w:sz w:val="22"/>
          <w:szCs w:val="22"/>
        </w:rPr>
        <w:t>a</w:t>
      </w:r>
      <w:r w:rsidR="000B1040" w:rsidRPr="00BB211C">
        <w:rPr>
          <w:rFonts w:asciiTheme="majorBidi" w:hAnsiTheme="majorBidi" w:cstheme="majorBidi"/>
          <w:sz w:val="22"/>
          <w:szCs w:val="22"/>
          <w:lang w:val="en-US"/>
        </w:rPr>
        <w:t xml:space="preserve">san resmi pasal ini </w:t>
      </w:r>
      <w:r w:rsidR="009E64B5" w:rsidRPr="00BB211C">
        <w:rPr>
          <w:rFonts w:asciiTheme="majorBidi" w:hAnsiTheme="majorBidi" w:cstheme="majorBidi"/>
          <w:sz w:val="22"/>
          <w:szCs w:val="22"/>
        </w:rPr>
        <w:t xml:space="preserve">menyebutkan </w:t>
      </w:r>
      <w:r w:rsidR="000B1040" w:rsidRPr="00BB211C">
        <w:rPr>
          <w:rFonts w:asciiTheme="majorBidi" w:hAnsiTheme="majorBidi" w:cstheme="majorBidi"/>
          <w:sz w:val="22"/>
          <w:szCs w:val="22"/>
          <w:lang w:val="en-US"/>
        </w:rPr>
        <w:t xml:space="preserve"> </w:t>
      </w:r>
      <w:r w:rsidR="009E64B5" w:rsidRPr="00BB211C">
        <w:rPr>
          <w:rFonts w:asciiTheme="majorBidi" w:hAnsiTheme="majorBidi" w:cstheme="majorBidi"/>
          <w:sz w:val="22"/>
          <w:szCs w:val="22"/>
        </w:rPr>
        <w:t>“</w:t>
      </w:r>
      <w:r w:rsidR="000B1040" w:rsidRPr="00BB211C">
        <w:rPr>
          <w:rFonts w:asciiTheme="majorBidi" w:eastAsia="Arial" w:hAnsiTheme="majorBidi" w:cstheme="majorBidi"/>
          <w:i/>
          <w:iCs/>
          <w:sz w:val="22"/>
          <w:szCs w:val="22"/>
        </w:rPr>
        <w:t>Yang dim</w:t>
      </w:r>
      <w:r w:rsidR="000B1040" w:rsidRPr="00BB211C">
        <w:rPr>
          <w:rFonts w:asciiTheme="majorBidi" w:eastAsia="Arial" w:hAnsiTheme="majorBidi" w:cstheme="majorBidi"/>
          <w:i/>
          <w:iCs/>
          <w:spacing w:val="-1"/>
          <w:sz w:val="22"/>
          <w:szCs w:val="22"/>
        </w:rPr>
        <w:t>a</w:t>
      </w:r>
      <w:r w:rsidR="000B1040" w:rsidRPr="00BB211C">
        <w:rPr>
          <w:rFonts w:asciiTheme="majorBidi" w:eastAsia="Arial" w:hAnsiTheme="majorBidi" w:cstheme="majorBidi"/>
          <w:i/>
          <w:iCs/>
          <w:sz w:val="22"/>
          <w:szCs w:val="22"/>
        </w:rPr>
        <w:t>ksud seti</w:t>
      </w:r>
      <w:r w:rsidR="000B1040" w:rsidRPr="00BB211C">
        <w:rPr>
          <w:rFonts w:asciiTheme="majorBidi" w:eastAsia="Arial" w:hAnsiTheme="majorBidi" w:cstheme="majorBidi"/>
          <w:i/>
          <w:iCs/>
          <w:spacing w:val="-1"/>
          <w:sz w:val="22"/>
          <w:szCs w:val="22"/>
        </w:rPr>
        <w:t>a</w:t>
      </w:r>
      <w:r w:rsidR="000B1040" w:rsidRPr="00BB211C">
        <w:rPr>
          <w:rFonts w:asciiTheme="majorBidi" w:eastAsia="Arial" w:hAnsiTheme="majorBidi" w:cstheme="majorBidi"/>
          <w:i/>
          <w:iCs/>
          <w:sz w:val="22"/>
          <w:szCs w:val="22"/>
        </w:rPr>
        <w:t>p or</w:t>
      </w:r>
      <w:r w:rsidR="000B1040" w:rsidRPr="00BB211C">
        <w:rPr>
          <w:rFonts w:asciiTheme="majorBidi" w:eastAsia="Arial" w:hAnsiTheme="majorBidi" w:cstheme="majorBidi"/>
          <w:i/>
          <w:iCs/>
          <w:spacing w:val="-1"/>
          <w:sz w:val="22"/>
          <w:szCs w:val="22"/>
        </w:rPr>
        <w:t>a</w:t>
      </w:r>
      <w:r w:rsidR="000B1040" w:rsidRPr="00BB211C">
        <w:rPr>
          <w:rFonts w:asciiTheme="majorBidi" w:eastAsia="Arial" w:hAnsiTheme="majorBidi" w:cstheme="majorBidi"/>
          <w:i/>
          <w:iCs/>
          <w:sz w:val="22"/>
          <w:szCs w:val="22"/>
        </w:rPr>
        <w:t>ng yang b</w:t>
      </w:r>
      <w:r w:rsidR="000B1040" w:rsidRPr="00BB211C">
        <w:rPr>
          <w:rFonts w:asciiTheme="majorBidi" w:eastAsia="Arial" w:hAnsiTheme="majorBidi" w:cstheme="majorBidi"/>
          <w:i/>
          <w:iCs/>
          <w:spacing w:val="-1"/>
          <w:sz w:val="22"/>
          <w:szCs w:val="22"/>
        </w:rPr>
        <w:t>e</w:t>
      </w:r>
      <w:r w:rsidR="000B1040" w:rsidRPr="00BB211C">
        <w:rPr>
          <w:rFonts w:asciiTheme="majorBidi" w:eastAsia="Arial" w:hAnsiTheme="majorBidi" w:cstheme="majorBidi"/>
          <w:i/>
          <w:iCs/>
          <w:sz w:val="22"/>
          <w:szCs w:val="22"/>
        </w:rPr>
        <w:t>r</w:t>
      </w:r>
      <w:r w:rsidR="000B1040" w:rsidRPr="00BB211C">
        <w:rPr>
          <w:rFonts w:asciiTheme="majorBidi" w:eastAsia="Arial" w:hAnsiTheme="majorBidi" w:cstheme="majorBidi"/>
          <w:i/>
          <w:iCs/>
          <w:spacing w:val="-1"/>
          <w:sz w:val="22"/>
          <w:szCs w:val="22"/>
        </w:rPr>
        <w:t>a</w:t>
      </w:r>
      <w:r w:rsidR="000B1040" w:rsidRPr="00BB211C">
        <w:rPr>
          <w:rFonts w:asciiTheme="majorBidi" w:eastAsia="Arial" w:hAnsiTheme="majorBidi" w:cstheme="majorBidi"/>
          <w:i/>
          <w:iCs/>
          <w:sz w:val="22"/>
          <w:szCs w:val="22"/>
        </w:rPr>
        <w:t>gama Isl</w:t>
      </w:r>
      <w:r w:rsidR="000B1040" w:rsidRPr="00BB211C">
        <w:rPr>
          <w:rFonts w:asciiTheme="majorBidi" w:eastAsia="Arial" w:hAnsiTheme="majorBidi" w:cstheme="majorBidi"/>
          <w:i/>
          <w:iCs/>
          <w:spacing w:val="-1"/>
          <w:sz w:val="22"/>
          <w:szCs w:val="22"/>
        </w:rPr>
        <w:t>a</w:t>
      </w:r>
      <w:r w:rsidR="000B1040" w:rsidRPr="00BB211C">
        <w:rPr>
          <w:rFonts w:asciiTheme="majorBidi" w:eastAsia="Arial" w:hAnsiTheme="majorBidi" w:cstheme="majorBidi"/>
          <w:i/>
          <w:iCs/>
          <w:sz w:val="22"/>
          <w:szCs w:val="22"/>
        </w:rPr>
        <w:t xml:space="preserve">m </w:t>
      </w:r>
      <w:r w:rsidR="000B1040" w:rsidRPr="00BB211C">
        <w:rPr>
          <w:rFonts w:asciiTheme="majorBidi" w:eastAsia="Arial" w:hAnsiTheme="majorBidi" w:cstheme="majorBidi"/>
          <w:i/>
          <w:iCs/>
          <w:spacing w:val="-1"/>
          <w:sz w:val="22"/>
          <w:szCs w:val="22"/>
        </w:rPr>
        <w:t>d</w:t>
      </w:r>
      <w:r w:rsidR="000B1040" w:rsidRPr="00BB211C">
        <w:rPr>
          <w:rFonts w:asciiTheme="majorBidi" w:eastAsia="Arial" w:hAnsiTheme="majorBidi" w:cstheme="majorBidi"/>
          <w:i/>
          <w:iCs/>
          <w:sz w:val="22"/>
          <w:szCs w:val="22"/>
        </w:rPr>
        <w:t>alam ket</w:t>
      </w:r>
      <w:r w:rsidR="000B1040" w:rsidRPr="00BB211C">
        <w:rPr>
          <w:rFonts w:asciiTheme="majorBidi" w:eastAsia="Arial" w:hAnsiTheme="majorBidi" w:cstheme="majorBidi"/>
          <w:i/>
          <w:iCs/>
          <w:spacing w:val="-1"/>
          <w:sz w:val="22"/>
          <w:szCs w:val="22"/>
        </w:rPr>
        <w:t>e</w:t>
      </w:r>
      <w:r w:rsidR="000B1040" w:rsidRPr="00BB211C">
        <w:rPr>
          <w:rFonts w:asciiTheme="majorBidi" w:eastAsia="Arial" w:hAnsiTheme="majorBidi" w:cstheme="majorBidi"/>
          <w:i/>
          <w:iCs/>
          <w:sz w:val="22"/>
          <w:szCs w:val="22"/>
        </w:rPr>
        <w:t>nt</w:t>
      </w:r>
      <w:r w:rsidR="000B1040" w:rsidRPr="00BB211C">
        <w:rPr>
          <w:rFonts w:asciiTheme="majorBidi" w:eastAsia="Arial" w:hAnsiTheme="majorBidi" w:cstheme="majorBidi"/>
          <w:i/>
          <w:iCs/>
          <w:spacing w:val="-1"/>
          <w:sz w:val="22"/>
          <w:szCs w:val="22"/>
        </w:rPr>
        <w:t>u</w:t>
      </w:r>
      <w:r w:rsidR="000B1040" w:rsidRPr="00BB211C">
        <w:rPr>
          <w:rFonts w:asciiTheme="majorBidi" w:eastAsia="Arial" w:hAnsiTheme="majorBidi" w:cstheme="majorBidi"/>
          <w:i/>
          <w:iCs/>
          <w:sz w:val="22"/>
          <w:szCs w:val="22"/>
        </w:rPr>
        <w:t>an ini adal</w:t>
      </w:r>
      <w:r w:rsidR="000B1040" w:rsidRPr="00BB211C">
        <w:rPr>
          <w:rFonts w:asciiTheme="majorBidi" w:eastAsia="Arial" w:hAnsiTheme="majorBidi" w:cstheme="majorBidi"/>
          <w:i/>
          <w:iCs/>
          <w:spacing w:val="-1"/>
          <w:sz w:val="22"/>
          <w:szCs w:val="22"/>
        </w:rPr>
        <w:t>a</w:t>
      </w:r>
      <w:r w:rsidR="000B1040" w:rsidRPr="00BB211C">
        <w:rPr>
          <w:rFonts w:asciiTheme="majorBidi" w:eastAsia="Arial" w:hAnsiTheme="majorBidi" w:cstheme="majorBidi"/>
          <w:i/>
          <w:iCs/>
          <w:sz w:val="22"/>
          <w:szCs w:val="22"/>
        </w:rPr>
        <w:t>h</w:t>
      </w:r>
      <w:r w:rsidR="000B1040" w:rsidRPr="00BB211C">
        <w:rPr>
          <w:rFonts w:asciiTheme="majorBidi" w:eastAsia="Arial" w:hAnsiTheme="majorBidi" w:cstheme="majorBidi"/>
          <w:i/>
          <w:iCs/>
          <w:spacing w:val="-1"/>
          <w:sz w:val="22"/>
          <w:szCs w:val="22"/>
        </w:rPr>
        <w:t xml:space="preserve"> </w:t>
      </w:r>
      <w:r w:rsidR="000B1040" w:rsidRPr="00BB211C">
        <w:rPr>
          <w:rFonts w:asciiTheme="majorBidi" w:eastAsia="Arial" w:hAnsiTheme="majorBidi" w:cstheme="majorBidi"/>
          <w:i/>
          <w:iCs/>
          <w:sz w:val="22"/>
          <w:szCs w:val="22"/>
        </w:rPr>
        <w:t>sia</w:t>
      </w:r>
      <w:r w:rsidR="000B1040" w:rsidRPr="00BB211C">
        <w:rPr>
          <w:rFonts w:asciiTheme="majorBidi" w:eastAsia="Arial" w:hAnsiTheme="majorBidi" w:cstheme="majorBidi"/>
          <w:i/>
          <w:iCs/>
          <w:spacing w:val="-1"/>
          <w:sz w:val="22"/>
          <w:szCs w:val="22"/>
        </w:rPr>
        <w:t>p</w:t>
      </w:r>
      <w:r w:rsidR="000B1040" w:rsidRPr="00BB211C">
        <w:rPr>
          <w:rFonts w:asciiTheme="majorBidi" w:eastAsia="Arial" w:hAnsiTheme="majorBidi" w:cstheme="majorBidi"/>
          <w:i/>
          <w:iCs/>
          <w:sz w:val="22"/>
          <w:szCs w:val="22"/>
        </w:rPr>
        <w:t>ap</w:t>
      </w:r>
      <w:r w:rsidR="000B1040" w:rsidRPr="00BB211C">
        <w:rPr>
          <w:rFonts w:asciiTheme="majorBidi" w:eastAsia="Arial" w:hAnsiTheme="majorBidi" w:cstheme="majorBidi"/>
          <w:i/>
          <w:iCs/>
          <w:spacing w:val="-1"/>
          <w:sz w:val="22"/>
          <w:szCs w:val="22"/>
        </w:rPr>
        <w:t>u</w:t>
      </w:r>
      <w:r w:rsidR="000B1040" w:rsidRPr="00BB211C">
        <w:rPr>
          <w:rFonts w:asciiTheme="majorBidi" w:eastAsia="Arial" w:hAnsiTheme="majorBidi" w:cstheme="majorBidi"/>
          <w:i/>
          <w:iCs/>
          <w:sz w:val="22"/>
          <w:szCs w:val="22"/>
        </w:rPr>
        <w:t>n yang berag</w:t>
      </w:r>
      <w:r w:rsidR="000B1040" w:rsidRPr="00BB211C">
        <w:rPr>
          <w:rFonts w:asciiTheme="majorBidi" w:eastAsia="Arial" w:hAnsiTheme="majorBidi" w:cstheme="majorBidi"/>
          <w:i/>
          <w:iCs/>
          <w:spacing w:val="-1"/>
          <w:sz w:val="22"/>
          <w:szCs w:val="22"/>
        </w:rPr>
        <w:t>a</w:t>
      </w:r>
      <w:r w:rsidR="000B1040" w:rsidRPr="00BB211C">
        <w:rPr>
          <w:rFonts w:asciiTheme="majorBidi" w:eastAsia="Arial" w:hAnsiTheme="majorBidi" w:cstheme="majorBidi"/>
          <w:i/>
          <w:iCs/>
          <w:sz w:val="22"/>
          <w:szCs w:val="22"/>
        </w:rPr>
        <w:t>ma Islam ta</w:t>
      </w:r>
      <w:r w:rsidR="000B1040" w:rsidRPr="00BB211C">
        <w:rPr>
          <w:rFonts w:asciiTheme="majorBidi" w:eastAsia="Arial" w:hAnsiTheme="majorBidi" w:cstheme="majorBidi"/>
          <w:i/>
          <w:iCs/>
          <w:spacing w:val="-1"/>
          <w:sz w:val="22"/>
          <w:szCs w:val="22"/>
        </w:rPr>
        <w:t>n</w:t>
      </w:r>
      <w:r w:rsidR="000B1040" w:rsidRPr="00BB211C">
        <w:rPr>
          <w:rFonts w:asciiTheme="majorBidi" w:eastAsia="Arial" w:hAnsiTheme="majorBidi" w:cstheme="majorBidi"/>
          <w:i/>
          <w:iCs/>
          <w:sz w:val="22"/>
          <w:szCs w:val="22"/>
        </w:rPr>
        <w:t>pa mem</w:t>
      </w:r>
      <w:r w:rsidR="000B1040" w:rsidRPr="00BB211C">
        <w:rPr>
          <w:rFonts w:asciiTheme="majorBidi" w:eastAsia="Arial" w:hAnsiTheme="majorBidi" w:cstheme="majorBidi"/>
          <w:i/>
          <w:iCs/>
          <w:spacing w:val="-1"/>
          <w:sz w:val="22"/>
          <w:szCs w:val="22"/>
        </w:rPr>
        <w:t>b</w:t>
      </w:r>
      <w:r w:rsidR="000B1040" w:rsidRPr="00BB211C">
        <w:rPr>
          <w:rFonts w:asciiTheme="majorBidi" w:eastAsia="Arial" w:hAnsiTheme="majorBidi" w:cstheme="majorBidi"/>
          <w:i/>
          <w:iCs/>
          <w:sz w:val="22"/>
          <w:szCs w:val="22"/>
        </w:rPr>
        <w:t>ed</w:t>
      </w:r>
      <w:r w:rsidR="000B1040" w:rsidRPr="00BB211C">
        <w:rPr>
          <w:rFonts w:asciiTheme="majorBidi" w:eastAsia="Arial" w:hAnsiTheme="majorBidi" w:cstheme="majorBidi"/>
          <w:i/>
          <w:iCs/>
          <w:spacing w:val="-1"/>
          <w:sz w:val="22"/>
          <w:szCs w:val="22"/>
        </w:rPr>
        <w:t>a</w:t>
      </w:r>
      <w:r w:rsidR="000B1040" w:rsidRPr="00BB211C">
        <w:rPr>
          <w:rFonts w:asciiTheme="majorBidi" w:eastAsia="Arial" w:hAnsiTheme="majorBidi" w:cstheme="majorBidi"/>
          <w:i/>
          <w:iCs/>
          <w:sz w:val="22"/>
          <w:szCs w:val="22"/>
        </w:rPr>
        <w:t>kan</w:t>
      </w:r>
      <w:r w:rsidR="000B1040" w:rsidRPr="00BB211C">
        <w:rPr>
          <w:rFonts w:asciiTheme="majorBidi" w:eastAsia="Arial" w:hAnsiTheme="majorBidi" w:cstheme="majorBidi"/>
          <w:i/>
          <w:iCs/>
          <w:spacing w:val="-1"/>
          <w:sz w:val="22"/>
          <w:szCs w:val="22"/>
        </w:rPr>
        <w:t xml:space="preserve"> </w:t>
      </w:r>
      <w:r w:rsidR="000B1040" w:rsidRPr="00BB211C">
        <w:rPr>
          <w:rFonts w:asciiTheme="majorBidi" w:eastAsia="Arial" w:hAnsiTheme="majorBidi" w:cstheme="majorBidi"/>
          <w:i/>
          <w:iCs/>
          <w:sz w:val="22"/>
          <w:szCs w:val="22"/>
        </w:rPr>
        <w:t>k</w:t>
      </w:r>
      <w:r w:rsidR="000B1040" w:rsidRPr="00BB211C">
        <w:rPr>
          <w:rFonts w:asciiTheme="majorBidi" w:eastAsia="Arial" w:hAnsiTheme="majorBidi" w:cstheme="majorBidi"/>
          <w:i/>
          <w:iCs/>
          <w:spacing w:val="-1"/>
          <w:sz w:val="22"/>
          <w:szCs w:val="22"/>
        </w:rPr>
        <w:t>e</w:t>
      </w:r>
      <w:r w:rsidR="000B1040" w:rsidRPr="00BB211C">
        <w:rPr>
          <w:rFonts w:asciiTheme="majorBidi" w:eastAsia="Arial" w:hAnsiTheme="majorBidi" w:cstheme="majorBidi"/>
          <w:i/>
          <w:iCs/>
          <w:sz w:val="22"/>
          <w:szCs w:val="22"/>
        </w:rPr>
        <w:t>warg</w:t>
      </w:r>
      <w:r w:rsidR="000B1040" w:rsidRPr="00BB211C">
        <w:rPr>
          <w:rFonts w:asciiTheme="majorBidi" w:eastAsia="Arial" w:hAnsiTheme="majorBidi" w:cstheme="majorBidi"/>
          <w:i/>
          <w:iCs/>
          <w:spacing w:val="-1"/>
          <w:sz w:val="22"/>
          <w:szCs w:val="22"/>
        </w:rPr>
        <w:t>a</w:t>
      </w:r>
      <w:r w:rsidR="000B1040" w:rsidRPr="00BB211C">
        <w:rPr>
          <w:rFonts w:asciiTheme="majorBidi" w:eastAsia="Arial" w:hAnsiTheme="majorBidi" w:cstheme="majorBidi"/>
          <w:i/>
          <w:iCs/>
          <w:sz w:val="22"/>
          <w:szCs w:val="22"/>
        </w:rPr>
        <w:t>neg</w:t>
      </w:r>
      <w:r w:rsidR="000B1040" w:rsidRPr="00BB211C">
        <w:rPr>
          <w:rFonts w:asciiTheme="majorBidi" w:eastAsia="Arial" w:hAnsiTheme="majorBidi" w:cstheme="majorBidi"/>
          <w:i/>
          <w:iCs/>
          <w:spacing w:val="-1"/>
          <w:sz w:val="22"/>
          <w:szCs w:val="22"/>
        </w:rPr>
        <w:t>a</w:t>
      </w:r>
      <w:r w:rsidR="000B1040" w:rsidRPr="00BB211C">
        <w:rPr>
          <w:rFonts w:asciiTheme="majorBidi" w:eastAsia="Arial" w:hAnsiTheme="majorBidi" w:cstheme="majorBidi"/>
          <w:i/>
          <w:iCs/>
          <w:sz w:val="22"/>
          <w:szCs w:val="22"/>
        </w:rPr>
        <w:t>ra</w:t>
      </w:r>
      <w:r w:rsidR="000B1040" w:rsidRPr="00BB211C">
        <w:rPr>
          <w:rFonts w:asciiTheme="majorBidi" w:eastAsia="Arial" w:hAnsiTheme="majorBidi" w:cstheme="majorBidi"/>
          <w:i/>
          <w:iCs/>
          <w:spacing w:val="-1"/>
          <w:sz w:val="22"/>
          <w:szCs w:val="22"/>
        </w:rPr>
        <w:t>a</w:t>
      </w:r>
      <w:r w:rsidR="000B1040" w:rsidRPr="00BB211C">
        <w:rPr>
          <w:rFonts w:asciiTheme="majorBidi" w:eastAsia="Arial" w:hAnsiTheme="majorBidi" w:cstheme="majorBidi"/>
          <w:i/>
          <w:iCs/>
          <w:sz w:val="22"/>
          <w:szCs w:val="22"/>
        </w:rPr>
        <w:t>n, k</w:t>
      </w:r>
      <w:r w:rsidR="000B1040" w:rsidRPr="00BB211C">
        <w:rPr>
          <w:rFonts w:asciiTheme="majorBidi" w:eastAsia="Arial" w:hAnsiTheme="majorBidi" w:cstheme="majorBidi"/>
          <w:i/>
          <w:iCs/>
          <w:spacing w:val="-1"/>
          <w:sz w:val="22"/>
          <w:szCs w:val="22"/>
        </w:rPr>
        <w:t>e</w:t>
      </w:r>
      <w:r w:rsidR="000B1040" w:rsidRPr="00BB211C">
        <w:rPr>
          <w:rFonts w:asciiTheme="majorBidi" w:eastAsia="Arial" w:hAnsiTheme="majorBidi" w:cstheme="majorBidi"/>
          <w:i/>
          <w:iCs/>
          <w:sz w:val="22"/>
          <w:szCs w:val="22"/>
        </w:rPr>
        <w:t>dud</w:t>
      </w:r>
      <w:r w:rsidR="000B1040" w:rsidRPr="00BB211C">
        <w:rPr>
          <w:rFonts w:asciiTheme="majorBidi" w:eastAsia="Arial" w:hAnsiTheme="majorBidi" w:cstheme="majorBidi"/>
          <w:i/>
          <w:iCs/>
          <w:spacing w:val="-1"/>
          <w:sz w:val="22"/>
          <w:szCs w:val="22"/>
        </w:rPr>
        <w:t>u</w:t>
      </w:r>
      <w:r w:rsidR="000B1040" w:rsidRPr="00BB211C">
        <w:rPr>
          <w:rFonts w:asciiTheme="majorBidi" w:eastAsia="Arial" w:hAnsiTheme="majorBidi" w:cstheme="majorBidi"/>
          <w:i/>
          <w:iCs/>
          <w:sz w:val="22"/>
          <w:szCs w:val="22"/>
        </w:rPr>
        <w:t>k</w:t>
      </w:r>
      <w:r w:rsidR="000B1040" w:rsidRPr="00BB211C">
        <w:rPr>
          <w:rFonts w:asciiTheme="majorBidi" w:eastAsia="Arial" w:hAnsiTheme="majorBidi" w:cstheme="majorBidi"/>
          <w:i/>
          <w:iCs/>
          <w:spacing w:val="-1"/>
          <w:sz w:val="22"/>
          <w:szCs w:val="22"/>
        </w:rPr>
        <w:t>a</w:t>
      </w:r>
      <w:r w:rsidR="000B1040" w:rsidRPr="00BB211C">
        <w:rPr>
          <w:rFonts w:asciiTheme="majorBidi" w:eastAsia="Arial" w:hAnsiTheme="majorBidi" w:cstheme="majorBidi"/>
          <w:i/>
          <w:iCs/>
          <w:sz w:val="22"/>
          <w:szCs w:val="22"/>
        </w:rPr>
        <w:t>n dan</w:t>
      </w:r>
      <w:r w:rsidR="000B1040" w:rsidRPr="00BB211C">
        <w:rPr>
          <w:rFonts w:asciiTheme="majorBidi" w:eastAsia="Arial" w:hAnsiTheme="majorBidi" w:cstheme="majorBidi"/>
          <w:i/>
          <w:iCs/>
          <w:spacing w:val="-1"/>
          <w:sz w:val="22"/>
          <w:szCs w:val="22"/>
        </w:rPr>
        <w:t xml:space="preserve"> </w:t>
      </w:r>
      <w:r w:rsidR="000B1040" w:rsidRPr="00BB211C">
        <w:rPr>
          <w:rFonts w:asciiTheme="majorBidi" w:eastAsia="Arial" w:hAnsiTheme="majorBidi" w:cstheme="majorBidi"/>
          <w:i/>
          <w:iCs/>
          <w:sz w:val="22"/>
          <w:szCs w:val="22"/>
        </w:rPr>
        <w:t>status</w:t>
      </w:r>
      <w:r w:rsidR="009E64B5" w:rsidRPr="00BB211C">
        <w:rPr>
          <w:rFonts w:asciiTheme="majorBidi" w:eastAsia="Arial" w:hAnsiTheme="majorBidi" w:cstheme="majorBidi"/>
          <w:i/>
          <w:iCs/>
          <w:sz w:val="22"/>
          <w:szCs w:val="22"/>
        </w:rPr>
        <w:t>”</w:t>
      </w:r>
      <w:r w:rsidR="000B1040" w:rsidRPr="00BB211C">
        <w:rPr>
          <w:rFonts w:asciiTheme="majorBidi" w:eastAsia="Arial" w:hAnsiTheme="majorBidi" w:cstheme="majorBidi"/>
          <w:sz w:val="22"/>
          <w:szCs w:val="22"/>
          <w:lang w:val="en-US"/>
        </w:rPr>
        <w:t>. Sedang</w:t>
      </w:r>
      <w:r w:rsidR="008C17F3" w:rsidRPr="00BB211C">
        <w:rPr>
          <w:rFonts w:asciiTheme="majorBidi" w:eastAsia="Arial" w:hAnsiTheme="majorBidi" w:cstheme="majorBidi"/>
          <w:sz w:val="22"/>
          <w:szCs w:val="22"/>
        </w:rPr>
        <w:t xml:space="preserve">kan </w:t>
      </w:r>
      <w:r w:rsidR="000B1040" w:rsidRPr="00BB211C">
        <w:rPr>
          <w:rFonts w:asciiTheme="majorBidi" w:eastAsia="Arial" w:hAnsiTheme="majorBidi" w:cstheme="majorBidi"/>
          <w:sz w:val="22"/>
          <w:szCs w:val="22"/>
          <w:lang w:val="en-US"/>
        </w:rPr>
        <w:t xml:space="preserve"> </w:t>
      </w:r>
      <w:r w:rsidR="000B1040" w:rsidRPr="00BB211C">
        <w:rPr>
          <w:rFonts w:asciiTheme="majorBidi" w:eastAsia="Arial" w:hAnsiTheme="majorBidi" w:cstheme="majorBidi"/>
          <w:sz w:val="22"/>
          <w:szCs w:val="22"/>
        </w:rPr>
        <w:t xml:space="preserve">di dalam </w:t>
      </w:r>
      <w:r w:rsidR="000B1040" w:rsidRPr="00BB211C">
        <w:rPr>
          <w:rFonts w:asciiTheme="majorBidi" w:eastAsia="Arial" w:hAnsiTheme="majorBidi" w:cstheme="majorBidi"/>
          <w:sz w:val="22"/>
          <w:szCs w:val="22"/>
          <w:lang w:val="en-US"/>
        </w:rPr>
        <w:t>Penjelasan Umum, yang di atas tadi telah dikutip adanya asas personalitas ke</w:t>
      </w:r>
      <w:r w:rsidR="00F06520" w:rsidRPr="00BB211C">
        <w:rPr>
          <w:rFonts w:asciiTheme="majorBidi" w:eastAsia="Arial" w:hAnsiTheme="majorBidi" w:cstheme="majorBidi"/>
          <w:sz w:val="22"/>
          <w:szCs w:val="22"/>
          <w:lang w:val="en-US"/>
        </w:rPr>
        <w:t>is</w:t>
      </w:r>
      <w:r w:rsidR="000B1040" w:rsidRPr="00BB211C">
        <w:rPr>
          <w:rFonts w:asciiTheme="majorBidi" w:eastAsia="Arial" w:hAnsiTheme="majorBidi" w:cstheme="majorBidi"/>
          <w:sz w:val="22"/>
          <w:szCs w:val="22"/>
          <w:lang w:val="en-US"/>
        </w:rPr>
        <w:t>laman disebutkan secara jelas. Dengan redaksi di atas dapat dinyatakan bahwa undang-undang secara jelas telah menetapkan asas personalitas ke</w:t>
      </w:r>
      <w:r w:rsidR="00F06520" w:rsidRPr="00BB211C">
        <w:rPr>
          <w:rFonts w:asciiTheme="majorBidi" w:eastAsia="Arial" w:hAnsiTheme="majorBidi" w:cstheme="majorBidi"/>
          <w:sz w:val="22"/>
          <w:szCs w:val="22"/>
          <w:lang w:val="en-US"/>
        </w:rPr>
        <w:t>is</w:t>
      </w:r>
      <w:r w:rsidR="000B1040" w:rsidRPr="00BB211C">
        <w:rPr>
          <w:rFonts w:asciiTheme="majorBidi" w:eastAsia="Arial" w:hAnsiTheme="majorBidi" w:cstheme="majorBidi"/>
          <w:sz w:val="22"/>
          <w:szCs w:val="22"/>
          <w:lang w:val="en-US"/>
        </w:rPr>
        <w:t xml:space="preserve">laman dan juga teritorialitas wilayah Aceh sebagai dasar pemberlakuan syariat di Aceh. </w:t>
      </w:r>
      <w:r w:rsidR="008C17F3" w:rsidRPr="00BB211C">
        <w:rPr>
          <w:rFonts w:asciiTheme="majorBidi" w:eastAsia="Arial" w:hAnsiTheme="majorBidi" w:cstheme="majorBidi"/>
          <w:sz w:val="22"/>
          <w:szCs w:val="22"/>
        </w:rPr>
        <w:t xml:space="preserve">Kewenangan mahkamah hanya terbatas pada </w:t>
      </w:r>
      <w:r w:rsidR="000B1040" w:rsidRPr="00BB211C">
        <w:rPr>
          <w:rFonts w:asciiTheme="majorBidi" w:eastAsia="Arial" w:hAnsiTheme="majorBidi" w:cstheme="majorBidi"/>
          <w:sz w:val="22"/>
          <w:szCs w:val="22"/>
          <w:lang w:val="en-US"/>
        </w:rPr>
        <w:t xml:space="preserve"> orang beragama Islam yang </w:t>
      </w:r>
      <w:r w:rsidR="008C17F3" w:rsidRPr="00BB211C">
        <w:rPr>
          <w:rFonts w:asciiTheme="majorBidi" w:eastAsia="Arial" w:hAnsiTheme="majorBidi" w:cstheme="majorBidi"/>
          <w:sz w:val="22"/>
          <w:szCs w:val="22"/>
        </w:rPr>
        <w:t xml:space="preserve">melanggar dan berada </w:t>
      </w:r>
      <w:r w:rsidR="000B1040" w:rsidRPr="00BB211C">
        <w:rPr>
          <w:rFonts w:asciiTheme="majorBidi" w:eastAsia="Arial" w:hAnsiTheme="majorBidi" w:cstheme="majorBidi"/>
          <w:sz w:val="22"/>
          <w:szCs w:val="22"/>
          <w:lang w:val="en-US"/>
        </w:rPr>
        <w:t xml:space="preserve"> di Aceh, yang melakukan perbuatan hukum di Aceh dalam tiga bidang yang menjadi kewenangan Mahkamah Syari`yah, tanpa memperhatikan apakah dia merupakan penduduk yang menetap atau merupakan orang luar yang berkunjung untuk sementara waktu. Adapun untuk penduduk Aceh beragama Islam yang melakukan perbuatan jinayah di luar Aceh, maka menurut Pasal 129 ayat (3) kepada mereka diberlakukan KUHP bukan hokum syariat. Sedang untuk masalah perdata tid</w:t>
      </w:r>
      <w:r w:rsidR="007E591F" w:rsidRPr="00BB211C">
        <w:rPr>
          <w:rFonts w:asciiTheme="majorBidi" w:eastAsia="Arial" w:hAnsiTheme="majorBidi" w:cstheme="majorBidi"/>
          <w:sz w:val="22"/>
          <w:szCs w:val="22"/>
          <w:lang w:val="en-US"/>
        </w:rPr>
        <w:t xml:space="preserve">ak </w:t>
      </w:r>
      <w:r w:rsidR="000B1040" w:rsidRPr="00BB211C">
        <w:rPr>
          <w:rFonts w:asciiTheme="majorBidi" w:eastAsia="Arial" w:hAnsiTheme="majorBidi" w:cstheme="majorBidi"/>
          <w:sz w:val="22"/>
          <w:szCs w:val="22"/>
          <w:lang w:val="en-US"/>
        </w:rPr>
        <w:t>disebutkan secara jelas, namun menurut penulis tetap tid</w:t>
      </w:r>
      <w:r w:rsidR="00A5168E" w:rsidRPr="00BB211C">
        <w:rPr>
          <w:rFonts w:asciiTheme="majorBidi" w:eastAsia="Arial" w:hAnsiTheme="majorBidi" w:cstheme="majorBidi"/>
          <w:sz w:val="22"/>
          <w:szCs w:val="22"/>
        </w:rPr>
        <w:t>a</w:t>
      </w:r>
      <w:r w:rsidR="00A5168E" w:rsidRPr="00BB211C">
        <w:rPr>
          <w:rFonts w:asciiTheme="majorBidi" w:eastAsia="Arial" w:hAnsiTheme="majorBidi" w:cstheme="majorBidi"/>
          <w:sz w:val="22"/>
          <w:szCs w:val="22"/>
          <w:lang w:val="en-US"/>
        </w:rPr>
        <w:t>k</w:t>
      </w:r>
      <w:r w:rsidR="000B1040" w:rsidRPr="00BB211C">
        <w:rPr>
          <w:rFonts w:asciiTheme="majorBidi" w:eastAsia="Arial" w:hAnsiTheme="majorBidi" w:cstheme="majorBidi"/>
          <w:sz w:val="22"/>
          <w:szCs w:val="22"/>
          <w:lang w:val="en-US"/>
        </w:rPr>
        <w:t xml:space="preserve"> berlaku, karena perbuatan h</w:t>
      </w:r>
      <w:r w:rsidR="004C4407" w:rsidRPr="00BB211C">
        <w:rPr>
          <w:rFonts w:asciiTheme="majorBidi" w:eastAsia="Arial" w:hAnsiTheme="majorBidi" w:cstheme="majorBidi"/>
          <w:sz w:val="22"/>
          <w:szCs w:val="22"/>
          <w:lang w:val="en-US"/>
        </w:rPr>
        <w:t>u</w:t>
      </w:r>
      <w:r w:rsidR="000B1040" w:rsidRPr="00BB211C">
        <w:rPr>
          <w:rFonts w:asciiTheme="majorBidi" w:eastAsia="Arial" w:hAnsiTheme="majorBidi" w:cstheme="majorBidi"/>
          <w:sz w:val="22"/>
          <w:szCs w:val="22"/>
          <w:lang w:val="en-US"/>
        </w:rPr>
        <w:t>kum yang dilakukan di luar Aceh tidak men</w:t>
      </w:r>
      <w:r w:rsidR="004C4407" w:rsidRPr="00BB211C">
        <w:rPr>
          <w:rFonts w:asciiTheme="majorBidi" w:eastAsia="Arial" w:hAnsiTheme="majorBidi" w:cstheme="majorBidi"/>
          <w:sz w:val="22"/>
          <w:szCs w:val="22"/>
          <w:lang w:val="en-US"/>
        </w:rPr>
        <w:t xml:space="preserve">jadi </w:t>
      </w:r>
      <w:r w:rsidR="000B1040" w:rsidRPr="00BB211C">
        <w:rPr>
          <w:rFonts w:asciiTheme="majorBidi" w:eastAsia="Arial" w:hAnsiTheme="majorBidi" w:cstheme="majorBidi"/>
          <w:sz w:val="22"/>
          <w:szCs w:val="22"/>
          <w:lang w:val="en-US"/>
        </w:rPr>
        <w:t xml:space="preserve">kewenangan Mahkamah Syar`iyah. </w:t>
      </w:r>
    </w:p>
    <w:p w14:paraId="76AEE195" w14:textId="420DAEF2" w:rsidR="000B1040" w:rsidRPr="00BB211C" w:rsidRDefault="000B1040" w:rsidP="00DE13B6">
      <w:pPr>
        <w:spacing w:before="0" w:beforeAutospacing="0" w:after="0" w:afterAutospacing="0" w:line="240" w:lineRule="auto"/>
        <w:ind w:firstLine="720"/>
        <w:jc w:val="both"/>
        <w:rPr>
          <w:rFonts w:asciiTheme="majorBidi" w:hAnsiTheme="majorBidi" w:cstheme="majorBidi"/>
          <w:sz w:val="22"/>
          <w:szCs w:val="22"/>
          <w:lang w:val="en-US"/>
        </w:rPr>
      </w:pPr>
      <w:r w:rsidRPr="00BB211C">
        <w:rPr>
          <w:rFonts w:asciiTheme="majorBidi" w:eastAsia="Arial" w:hAnsiTheme="majorBidi" w:cstheme="majorBidi"/>
          <w:sz w:val="22"/>
          <w:szCs w:val="22"/>
          <w:lang w:val="en-US"/>
        </w:rPr>
        <w:t>Di pihak lain</w:t>
      </w:r>
      <w:r w:rsidR="008C17F3" w:rsidRPr="00BB211C">
        <w:rPr>
          <w:rFonts w:asciiTheme="majorBidi" w:eastAsia="Arial" w:hAnsiTheme="majorBidi" w:cstheme="majorBidi"/>
          <w:sz w:val="22"/>
          <w:szCs w:val="22"/>
        </w:rPr>
        <w:t>,</w:t>
      </w:r>
      <w:r w:rsidRPr="00BB211C">
        <w:rPr>
          <w:rFonts w:asciiTheme="majorBidi" w:eastAsia="Arial" w:hAnsiTheme="majorBidi" w:cstheme="majorBidi"/>
          <w:sz w:val="22"/>
          <w:szCs w:val="22"/>
          <w:lang w:val="en-US"/>
        </w:rPr>
        <w:t xml:space="preserve"> karena dinyatakan berlaku hanya untuk orang beragama Islam yang berada di Aceh, maka secara ters</w:t>
      </w:r>
      <w:r w:rsidR="003F7AF7" w:rsidRPr="00BB211C">
        <w:rPr>
          <w:rFonts w:asciiTheme="majorBidi" w:eastAsia="Arial" w:hAnsiTheme="majorBidi" w:cstheme="majorBidi"/>
          <w:sz w:val="22"/>
          <w:szCs w:val="22"/>
          <w:lang w:val="en-US"/>
        </w:rPr>
        <w:t>u</w:t>
      </w:r>
      <w:r w:rsidRPr="00BB211C">
        <w:rPr>
          <w:rFonts w:asciiTheme="majorBidi" w:eastAsia="Arial" w:hAnsiTheme="majorBidi" w:cstheme="majorBidi"/>
          <w:sz w:val="22"/>
          <w:szCs w:val="22"/>
          <w:lang w:val="en-US"/>
        </w:rPr>
        <w:t xml:space="preserve">rat, tentu tidak </w:t>
      </w:r>
      <w:r w:rsidR="008C17F3" w:rsidRPr="00BB211C">
        <w:rPr>
          <w:rFonts w:asciiTheme="majorBidi" w:eastAsia="Arial" w:hAnsiTheme="majorBidi" w:cstheme="majorBidi"/>
          <w:sz w:val="22"/>
          <w:szCs w:val="22"/>
        </w:rPr>
        <w:t>di</w:t>
      </w:r>
      <w:r w:rsidRPr="00BB211C">
        <w:rPr>
          <w:rFonts w:asciiTheme="majorBidi" w:eastAsia="Arial" w:hAnsiTheme="majorBidi" w:cstheme="majorBidi"/>
          <w:sz w:val="22"/>
          <w:szCs w:val="22"/>
          <w:lang w:val="en-US"/>
        </w:rPr>
        <w:t>berlaku</w:t>
      </w:r>
      <w:r w:rsidR="008C17F3" w:rsidRPr="00BB211C">
        <w:rPr>
          <w:rFonts w:asciiTheme="majorBidi" w:eastAsia="Arial" w:hAnsiTheme="majorBidi" w:cstheme="majorBidi"/>
          <w:sz w:val="22"/>
          <w:szCs w:val="22"/>
        </w:rPr>
        <w:t xml:space="preserve">kan </w:t>
      </w:r>
      <w:r w:rsidRPr="00BB211C">
        <w:rPr>
          <w:rFonts w:asciiTheme="majorBidi" w:eastAsia="Arial" w:hAnsiTheme="majorBidi" w:cstheme="majorBidi"/>
          <w:sz w:val="22"/>
          <w:szCs w:val="22"/>
          <w:lang w:val="en-US"/>
        </w:rPr>
        <w:t xml:space="preserve"> untuk orang yang </w:t>
      </w:r>
      <w:r w:rsidR="008C17F3" w:rsidRPr="00BB211C">
        <w:rPr>
          <w:rFonts w:asciiTheme="majorBidi" w:eastAsia="Arial" w:hAnsiTheme="majorBidi" w:cstheme="majorBidi"/>
          <w:sz w:val="22"/>
          <w:szCs w:val="22"/>
        </w:rPr>
        <w:t>non-muslim</w:t>
      </w:r>
      <w:r w:rsidRPr="00BB211C">
        <w:rPr>
          <w:rFonts w:asciiTheme="majorBidi" w:eastAsia="Arial" w:hAnsiTheme="majorBidi" w:cstheme="majorBidi"/>
          <w:sz w:val="22"/>
          <w:szCs w:val="22"/>
          <w:lang w:val="en-US"/>
        </w:rPr>
        <w:t xml:space="preserve"> yang berada di Aceh, </w:t>
      </w:r>
      <w:r w:rsidR="008C17F3" w:rsidRPr="00BB211C">
        <w:rPr>
          <w:rFonts w:asciiTheme="majorBidi" w:eastAsia="Arial" w:hAnsiTheme="majorBidi" w:cstheme="majorBidi"/>
          <w:sz w:val="22"/>
          <w:szCs w:val="22"/>
        </w:rPr>
        <w:t xml:space="preserve">baik </w:t>
      </w:r>
      <w:r w:rsidRPr="00BB211C">
        <w:rPr>
          <w:rFonts w:asciiTheme="majorBidi" w:eastAsia="Arial" w:hAnsiTheme="majorBidi" w:cstheme="majorBidi"/>
          <w:sz w:val="22"/>
          <w:szCs w:val="22"/>
          <w:lang w:val="en-US"/>
        </w:rPr>
        <w:t xml:space="preserve"> mereka</w:t>
      </w:r>
      <w:r w:rsidR="008C17F3" w:rsidRPr="00BB211C">
        <w:rPr>
          <w:rFonts w:asciiTheme="majorBidi" w:eastAsia="Arial" w:hAnsiTheme="majorBidi" w:cstheme="majorBidi"/>
          <w:sz w:val="22"/>
          <w:szCs w:val="22"/>
        </w:rPr>
        <w:t xml:space="preserve"> itu </w:t>
      </w:r>
      <w:r w:rsidRPr="00BB211C">
        <w:rPr>
          <w:rFonts w:asciiTheme="majorBidi" w:eastAsia="Arial" w:hAnsiTheme="majorBidi" w:cstheme="majorBidi"/>
          <w:sz w:val="22"/>
          <w:szCs w:val="22"/>
          <w:lang w:val="en-US"/>
        </w:rPr>
        <w:t xml:space="preserve"> merupakan penduduk Aceh atau orang luar yang hanya datang berkunjung ke Aceh. Namun UU 11/06 seperti tertera dalam Pasal 129 ayat (1) dan (2), memberikan dua pengecualian untuk ketentuan dalam Pasal 128 ayat (2). Pertama apabila sebuah perbuatan jinayah </w:t>
      </w:r>
      <w:r w:rsidRPr="00BB211C">
        <w:rPr>
          <w:rFonts w:asciiTheme="majorBidi" w:hAnsiTheme="majorBidi" w:cstheme="majorBidi"/>
          <w:sz w:val="22"/>
          <w:szCs w:val="22"/>
        </w:rPr>
        <w:t xml:space="preserve">dilakukan oleh dua orang atau lebih secara bersama-sama yang </w:t>
      </w:r>
      <w:r w:rsidRPr="00BB211C">
        <w:rPr>
          <w:rFonts w:asciiTheme="majorBidi" w:hAnsiTheme="majorBidi" w:cstheme="majorBidi"/>
          <w:sz w:val="22"/>
          <w:szCs w:val="22"/>
          <w:lang w:val="en-US"/>
        </w:rPr>
        <w:t>sebagiannya</w:t>
      </w:r>
      <w:r w:rsidRPr="00BB211C">
        <w:rPr>
          <w:rFonts w:asciiTheme="majorBidi" w:hAnsiTheme="majorBidi" w:cstheme="majorBidi"/>
          <w:sz w:val="22"/>
          <w:szCs w:val="22"/>
        </w:rPr>
        <w:t xml:space="preserve"> </w:t>
      </w:r>
      <w:r w:rsidRPr="00BB211C">
        <w:rPr>
          <w:rFonts w:asciiTheme="majorBidi" w:hAnsiTheme="majorBidi" w:cstheme="majorBidi"/>
          <w:sz w:val="22"/>
          <w:szCs w:val="22"/>
          <w:lang w:val="en-US"/>
        </w:rPr>
        <w:t xml:space="preserve">tidak </w:t>
      </w:r>
      <w:r w:rsidRPr="00BB211C">
        <w:rPr>
          <w:rFonts w:asciiTheme="majorBidi" w:hAnsiTheme="majorBidi" w:cstheme="majorBidi"/>
          <w:sz w:val="22"/>
          <w:szCs w:val="22"/>
        </w:rPr>
        <w:t>beragama Islam,</w:t>
      </w:r>
      <w:r w:rsidRPr="00BB211C">
        <w:rPr>
          <w:rFonts w:asciiTheme="majorBidi" w:hAnsiTheme="majorBidi" w:cstheme="majorBidi"/>
          <w:sz w:val="22"/>
          <w:szCs w:val="22"/>
          <w:lang w:val="en-US"/>
        </w:rPr>
        <w:t xml:space="preserve"> maka</w:t>
      </w:r>
      <w:r w:rsidRPr="00BB211C">
        <w:rPr>
          <w:rFonts w:asciiTheme="majorBidi" w:hAnsiTheme="majorBidi" w:cstheme="majorBidi"/>
          <w:sz w:val="22"/>
          <w:szCs w:val="22"/>
        </w:rPr>
        <w:t xml:space="preserve"> pelaku yang beragama bukan Islam dapat memilih dan menundukkan diri secara sukarela pada hukum jinayah</w:t>
      </w:r>
      <w:r w:rsidRPr="00BB211C">
        <w:rPr>
          <w:rFonts w:asciiTheme="majorBidi" w:hAnsiTheme="majorBidi" w:cstheme="majorBidi"/>
          <w:sz w:val="22"/>
          <w:szCs w:val="22"/>
          <w:lang w:val="en-US"/>
        </w:rPr>
        <w:t>. Kedua, apabila o</w:t>
      </w:r>
      <w:r w:rsidRPr="00BB211C">
        <w:rPr>
          <w:rFonts w:asciiTheme="majorBidi" w:hAnsiTheme="majorBidi" w:cstheme="majorBidi"/>
          <w:sz w:val="22"/>
          <w:szCs w:val="22"/>
        </w:rPr>
        <w:t xml:space="preserve">rang bukan Islam melakukan perbuatan jinayah </w:t>
      </w:r>
      <w:r w:rsidRPr="00BB211C">
        <w:rPr>
          <w:rFonts w:asciiTheme="majorBidi" w:hAnsiTheme="majorBidi" w:cstheme="majorBidi"/>
          <w:sz w:val="22"/>
          <w:szCs w:val="22"/>
          <w:lang w:val="en-US"/>
        </w:rPr>
        <w:t xml:space="preserve">dan perbuatan tersebut </w:t>
      </w:r>
      <w:r w:rsidRPr="00BB211C">
        <w:rPr>
          <w:rFonts w:asciiTheme="majorBidi" w:hAnsiTheme="majorBidi" w:cstheme="majorBidi"/>
          <w:sz w:val="22"/>
          <w:szCs w:val="22"/>
        </w:rPr>
        <w:t>tidak diatur dalam K</w:t>
      </w:r>
      <w:r w:rsidRPr="00BB211C">
        <w:rPr>
          <w:rFonts w:asciiTheme="majorBidi" w:hAnsiTheme="majorBidi" w:cstheme="majorBidi"/>
          <w:sz w:val="22"/>
          <w:szCs w:val="22"/>
          <w:lang w:val="en-US"/>
        </w:rPr>
        <w:t>UHP</w:t>
      </w:r>
      <w:r w:rsidRPr="00BB211C">
        <w:rPr>
          <w:rFonts w:asciiTheme="majorBidi" w:hAnsiTheme="majorBidi" w:cstheme="majorBidi"/>
          <w:sz w:val="22"/>
          <w:szCs w:val="22"/>
        </w:rPr>
        <w:t xml:space="preserve"> atau ketentuan pidana di luar K</w:t>
      </w:r>
      <w:r w:rsidRPr="00BB211C">
        <w:rPr>
          <w:rFonts w:asciiTheme="majorBidi" w:hAnsiTheme="majorBidi" w:cstheme="majorBidi"/>
          <w:sz w:val="22"/>
          <w:szCs w:val="22"/>
          <w:lang w:val="en-US"/>
        </w:rPr>
        <w:t>UHP</w:t>
      </w:r>
      <w:r w:rsidRPr="00BB211C">
        <w:rPr>
          <w:rFonts w:asciiTheme="majorBidi" w:hAnsiTheme="majorBidi" w:cstheme="majorBidi"/>
          <w:sz w:val="22"/>
          <w:szCs w:val="22"/>
        </w:rPr>
        <w:t xml:space="preserve"> </w:t>
      </w:r>
      <w:r w:rsidRPr="00BB211C">
        <w:rPr>
          <w:rFonts w:asciiTheme="majorBidi" w:hAnsiTheme="majorBidi" w:cstheme="majorBidi"/>
          <w:sz w:val="22"/>
          <w:szCs w:val="22"/>
          <w:lang w:val="en-US"/>
        </w:rPr>
        <w:t xml:space="preserve">maka kepada orang tersebut </w:t>
      </w:r>
      <w:r w:rsidRPr="00BB211C">
        <w:rPr>
          <w:rFonts w:asciiTheme="majorBidi" w:hAnsiTheme="majorBidi" w:cstheme="majorBidi"/>
          <w:sz w:val="22"/>
          <w:szCs w:val="22"/>
        </w:rPr>
        <w:t>berlaku hukum jinayah</w:t>
      </w:r>
      <w:r w:rsidRPr="00BB211C">
        <w:rPr>
          <w:rFonts w:asciiTheme="majorBidi" w:hAnsiTheme="majorBidi" w:cstheme="majorBidi"/>
          <w:sz w:val="22"/>
          <w:szCs w:val="22"/>
          <w:lang w:val="en-US"/>
        </w:rPr>
        <w:t xml:space="preserve">. </w:t>
      </w:r>
    </w:p>
    <w:p w14:paraId="3A2F2986" w14:textId="6F86BAB5" w:rsidR="00EB72EA" w:rsidRPr="00BB211C" w:rsidRDefault="000B1040" w:rsidP="00EB72EA">
      <w:pPr>
        <w:spacing w:before="0" w:beforeAutospacing="0" w:after="0" w:afterAutospacing="0" w:line="240" w:lineRule="auto"/>
        <w:ind w:firstLine="720"/>
        <w:jc w:val="both"/>
        <w:rPr>
          <w:rFonts w:asciiTheme="majorBidi" w:hAnsiTheme="majorBidi" w:cstheme="majorBidi"/>
          <w:sz w:val="22"/>
          <w:szCs w:val="22"/>
          <w:lang w:val="en-US"/>
        </w:rPr>
      </w:pPr>
      <w:r w:rsidRPr="00BB211C">
        <w:rPr>
          <w:rFonts w:asciiTheme="majorBidi" w:hAnsiTheme="majorBidi" w:cstheme="majorBidi"/>
          <w:sz w:val="22"/>
          <w:szCs w:val="22"/>
          <w:lang w:val="en-US"/>
        </w:rPr>
        <w:t xml:space="preserve">Ketentuan ini </w:t>
      </w:r>
      <w:r w:rsidR="00345FEF" w:rsidRPr="00BB211C">
        <w:rPr>
          <w:rFonts w:asciiTheme="majorBidi" w:hAnsiTheme="majorBidi" w:cstheme="majorBidi"/>
          <w:sz w:val="22"/>
          <w:szCs w:val="22"/>
        </w:rPr>
        <w:t xml:space="preserve">merupakan </w:t>
      </w:r>
      <w:r w:rsidRPr="00BB211C">
        <w:rPr>
          <w:rFonts w:asciiTheme="majorBidi" w:hAnsiTheme="majorBidi" w:cstheme="majorBidi"/>
          <w:sz w:val="22"/>
          <w:szCs w:val="22"/>
          <w:lang w:val="en-US"/>
        </w:rPr>
        <w:t xml:space="preserve"> pengecualian atau tambahan atas ketentuan dalam Pasal 128 di atas, sehingga Mahkamah  berwenang mengadili orang </w:t>
      </w:r>
      <w:r w:rsidR="00345FEF" w:rsidRPr="00BB211C">
        <w:rPr>
          <w:rFonts w:asciiTheme="majorBidi" w:hAnsiTheme="majorBidi" w:cstheme="majorBidi"/>
          <w:sz w:val="22"/>
          <w:szCs w:val="22"/>
        </w:rPr>
        <w:t>non</w:t>
      </w:r>
      <w:r w:rsidR="009E2FC5" w:rsidRPr="00BB211C">
        <w:rPr>
          <w:rFonts w:asciiTheme="majorBidi" w:hAnsiTheme="majorBidi" w:cstheme="majorBidi"/>
          <w:sz w:val="22"/>
          <w:szCs w:val="22"/>
          <w:lang w:val="en-US"/>
        </w:rPr>
        <w:t>-M</w:t>
      </w:r>
      <w:r w:rsidR="00345FEF" w:rsidRPr="00BB211C">
        <w:rPr>
          <w:rFonts w:asciiTheme="majorBidi" w:hAnsiTheme="majorBidi" w:cstheme="majorBidi"/>
          <w:sz w:val="22"/>
          <w:szCs w:val="22"/>
        </w:rPr>
        <w:t>uslim</w:t>
      </w:r>
      <w:r w:rsidRPr="00BB211C">
        <w:rPr>
          <w:rFonts w:asciiTheme="majorBidi" w:hAnsiTheme="majorBidi" w:cstheme="majorBidi"/>
          <w:sz w:val="22"/>
          <w:szCs w:val="22"/>
          <w:lang w:val="en-US"/>
        </w:rPr>
        <w:t>. Kewenangan Mahkamah</w:t>
      </w:r>
      <w:r w:rsidR="00345FEF" w:rsidRPr="00BB211C">
        <w:rPr>
          <w:rFonts w:asciiTheme="majorBidi" w:hAnsiTheme="majorBidi" w:cstheme="majorBidi"/>
          <w:sz w:val="22"/>
          <w:szCs w:val="22"/>
        </w:rPr>
        <w:t xml:space="preserve"> ini sepertinya </w:t>
      </w:r>
      <w:r w:rsidRPr="00BB211C">
        <w:rPr>
          <w:rFonts w:asciiTheme="majorBidi" w:hAnsiTheme="majorBidi" w:cstheme="majorBidi"/>
          <w:sz w:val="22"/>
          <w:szCs w:val="22"/>
          <w:lang w:val="en-US"/>
        </w:rPr>
        <w:t xml:space="preserve">terpaksa ditambah karena mempertimbangkan asas keadilan dan </w:t>
      </w:r>
      <w:r w:rsidR="00345FEF" w:rsidRPr="00BB211C">
        <w:rPr>
          <w:rFonts w:asciiTheme="majorBidi" w:hAnsiTheme="majorBidi" w:cstheme="majorBidi"/>
          <w:sz w:val="22"/>
          <w:szCs w:val="22"/>
        </w:rPr>
        <w:t xml:space="preserve">dapat dikatakan </w:t>
      </w:r>
      <w:r w:rsidRPr="00BB211C">
        <w:rPr>
          <w:rFonts w:asciiTheme="majorBidi" w:hAnsiTheme="majorBidi" w:cstheme="majorBidi"/>
          <w:sz w:val="22"/>
          <w:szCs w:val="22"/>
          <w:lang w:val="en-US"/>
        </w:rPr>
        <w:t xml:space="preserve">mengisi kekosongan hukum. </w:t>
      </w:r>
      <w:r w:rsidR="00345FEF" w:rsidRPr="00BB211C">
        <w:rPr>
          <w:rFonts w:asciiTheme="majorBidi" w:hAnsiTheme="majorBidi" w:cstheme="majorBidi"/>
          <w:sz w:val="22"/>
          <w:szCs w:val="22"/>
        </w:rPr>
        <w:t xml:space="preserve">Artinya kalau ada orang yang melakukan kesalahan atau pelanggaran haruslah dihukum. Orang yang melakukan kesalahan, tidak boleh dilepaskan begitu saja. Jika </w:t>
      </w:r>
      <w:r w:rsidRPr="00BB211C">
        <w:rPr>
          <w:rFonts w:asciiTheme="majorBidi" w:hAnsiTheme="majorBidi" w:cstheme="majorBidi"/>
          <w:sz w:val="22"/>
          <w:szCs w:val="22"/>
        </w:rPr>
        <w:t xml:space="preserve"> ada dua hukuman yang dapat dipilih untuk dijatuhkan, maka demi pertimbangan keadilan, pelaku diberi izin untuk memilih hukum yang dia anggap paling adil atau paling maslahat/menguntungkan buat dia. </w:t>
      </w:r>
      <w:r w:rsidRPr="00BB211C">
        <w:rPr>
          <w:rFonts w:asciiTheme="majorBidi" w:hAnsiTheme="majorBidi" w:cstheme="majorBidi"/>
          <w:sz w:val="22"/>
          <w:szCs w:val="22"/>
          <w:lang w:val="en-US"/>
        </w:rPr>
        <w:t xml:space="preserve">Tetapi ketika tidak ada pilihan hukum, maka dia mesti dijatuhi hukuman sama seperti orang Islam yang melakukan kejahatan yang sama. </w:t>
      </w:r>
    </w:p>
    <w:p w14:paraId="77DF1740" w14:textId="4106539F" w:rsidR="00EB72EA" w:rsidRPr="00BB211C" w:rsidRDefault="00DE1E2C" w:rsidP="00EB72EA">
      <w:pPr>
        <w:spacing w:before="0" w:beforeAutospacing="0" w:after="0" w:afterAutospacing="0" w:line="240" w:lineRule="auto"/>
        <w:ind w:firstLine="720"/>
        <w:jc w:val="both"/>
        <w:rPr>
          <w:rFonts w:asciiTheme="majorBidi" w:hAnsiTheme="majorBidi" w:cstheme="majorBidi"/>
          <w:sz w:val="22"/>
          <w:szCs w:val="22"/>
        </w:rPr>
      </w:pPr>
      <w:r w:rsidRPr="00BB211C">
        <w:rPr>
          <w:rFonts w:asciiTheme="majorBidi" w:hAnsiTheme="majorBidi" w:cstheme="majorBidi"/>
          <w:sz w:val="22"/>
          <w:szCs w:val="22"/>
          <w:lang w:val="en-US"/>
        </w:rPr>
        <w:t xml:space="preserve">Kajian </w:t>
      </w:r>
      <w:r w:rsidR="00A60EFB" w:rsidRPr="00BB211C">
        <w:rPr>
          <w:rFonts w:asciiTheme="majorBidi" w:hAnsiTheme="majorBidi" w:cstheme="majorBidi"/>
          <w:sz w:val="22"/>
          <w:szCs w:val="22"/>
          <w:lang w:val="en-US"/>
        </w:rPr>
        <w:t>di dalam hukum pidana sering juga dikaitkan dengan e</w:t>
      </w:r>
      <w:r w:rsidR="00EB72EA" w:rsidRPr="00BB211C">
        <w:rPr>
          <w:rFonts w:asciiTheme="majorBidi" w:hAnsiTheme="majorBidi" w:cstheme="majorBidi"/>
          <w:sz w:val="22"/>
          <w:szCs w:val="22"/>
          <w:lang w:val="en-US"/>
        </w:rPr>
        <w:t>f</w:t>
      </w:r>
      <w:r w:rsidR="00A60EFB" w:rsidRPr="00BB211C">
        <w:rPr>
          <w:rFonts w:asciiTheme="majorBidi" w:hAnsiTheme="majorBidi" w:cstheme="majorBidi"/>
          <w:sz w:val="22"/>
          <w:szCs w:val="22"/>
          <w:lang w:val="en-US"/>
        </w:rPr>
        <w:t>ekti</w:t>
      </w:r>
      <w:r w:rsidR="00EB72EA" w:rsidRPr="00BB211C">
        <w:rPr>
          <w:rFonts w:asciiTheme="majorBidi" w:hAnsiTheme="majorBidi" w:cstheme="majorBidi"/>
          <w:sz w:val="22"/>
          <w:szCs w:val="22"/>
          <w:lang w:val="en-US"/>
        </w:rPr>
        <w:t>v</w:t>
      </w:r>
      <w:r w:rsidR="00A60EFB" w:rsidRPr="00BB211C">
        <w:rPr>
          <w:rFonts w:asciiTheme="majorBidi" w:hAnsiTheme="majorBidi" w:cstheme="majorBidi"/>
          <w:sz w:val="22"/>
          <w:szCs w:val="22"/>
          <w:lang w:val="en-US"/>
        </w:rPr>
        <w:t>itas hukum pidana dalam pen</w:t>
      </w:r>
      <w:r w:rsidR="005B3CC6" w:rsidRPr="00BB211C">
        <w:rPr>
          <w:rFonts w:asciiTheme="majorBidi" w:hAnsiTheme="majorBidi" w:cstheme="majorBidi"/>
          <w:sz w:val="22"/>
          <w:szCs w:val="22"/>
        </w:rPr>
        <w:t>anggulangan kejahatan pada umu</w:t>
      </w:r>
      <w:r w:rsidR="00EB72EA" w:rsidRPr="00BB211C">
        <w:rPr>
          <w:rFonts w:asciiTheme="majorBidi" w:hAnsiTheme="majorBidi" w:cstheme="majorBidi"/>
          <w:sz w:val="22"/>
          <w:szCs w:val="22"/>
          <w:lang w:val="en-US"/>
        </w:rPr>
        <w:t>m</w:t>
      </w:r>
      <w:r w:rsidR="005B3CC6" w:rsidRPr="00BB211C">
        <w:rPr>
          <w:rFonts w:asciiTheme="majorBidi" w:hAnsiTheme="majorBidi" w:cstheme="majorBidi"/>
          <w:sz w:val="22"/>
          <w:szCs w:val="22"/>
        </w:rPr>
        <w:t xml:space="preserve">nya, yang pada dasarnya tidak dapat hanya mengandalkan hukum pidana secara murni. Pendapat </w:t>
      </w:r>
      <w:r w:rsidR="00EB72EA" w:rsidRPr="00BB211C">
        <w:rPr>
          <w:rFonts w:asciiTheme="majorBidi" w:hAnsiTheme="majorBidi" w:cstheme="majorBidi"/>
          <w:sz w:val="22"/>
          <w:szCs w:val="22"/>
          <w:lang w:val="en-US"/>
        </w:rPr>
        <w:t>S</w:t>
      </w:r>
      <w:r w:rsidR="005B3CC6" w:rsidRPr="00BB211C">
        <w:rPr>
          <w:rFonts w:asciiTheme="majorBidi" w:hAnsiTheme="majorBidi" w:cstheme="majorBidi"/>
          <w:sz w:val="22"/>
          <w:szCs w:val="22"/>
        </w:rPr>
        <w:t xml:space="preserve">udarto yang sering diulang dalam penanggulangan tindak </w:t>
      </w:r>
      <w:r w:rsidR="005B3CC6" w:rsidRPr="00BB211C">
        <w:rPr>
          <w:rFonts w:asciiTheme="majorBidi" w:hAnsiTheme="majorBidi" w:cstheme="majorBidi"/>
          <w:sz w:val="22"/>
          <w:szCs w:val="22"/>
        </w:rPr>
        <w:lastRenderedPageBreak/>
        <w:t>pidana, antara lain</w:t>
      </w:r>
      <w:r w:rsidR="00EB72EA" w:rsidRPr="00BB211C">
        <w:rPr>
          <w:rFonts w:asciiTheme="majorBidi" w:hAnsiTheme="majorBidi" w:cstheme="majorBidi"/>
          <w:color w:val="FF0000"/>
          <w:sz w:val="22"/>
          <w:szCs w:val="22"/>
          <w:lang w:val="en-US"/>
        </w:rPr>
        <w:t xml:space="preserve"> </w:t>
      </w:r>
      <w:r w:rsidR="00EB72EA" w:rsidRPr="00BB211C">
        <w:rPr>
          <w:rFonts w:asciiTheme="majorBidi" w:hAnsiTheme="majorBidi" w:cstheme="majorBidi"/>
          <w:sz w:val="22"/>
          <w:szCs w:val="22"/>
          <w:lang w:val="en-US"/>
        </w:rPr>
        <w:t>b</w:t>
      </w:r>
      <w:r w:rsidR="005B3CC6" w:rsidRPr="00BB211C">
        <w:rPr>
          <w:rFonts w:asciiTheme="majorBidi" w:hAnsiTheme="majorBidi" w:cstheme="majorBidi"/>
          <w:sz w:val="22"/>
          <w:szCs w:val="22"/>
        </w:rPr>
        <w:t>ahwa penanggulangan itu  tidak dapat hanya diwujudkan dengan aturan-aturan hukum</w:t>
      </w:r>
      <w:r w:rsidR="004B3C5C" w:rsidRPr="00BB211C">
        <w:rPr>
          <w:rFonts w:asciiTheme="majorBidi" w:hAnsiTheme="majorBidi" w:cstheme="majorBidi"/>
          <w:sz w:val="22"/>
          <w:szCs w:val="22"/>
          <w:lang w:val="en-US"/>
        </w:rPr>
        <w:t xml:space="preserve"> </w:t>
      </w:r>
      <w:r w:rsidR="00712ED2">
        <w:rPr>
          <w:rStyle w:val="FootnoteReference"/>
          <w:rFonts w:asciiTheme="majorBidi" w:hAnsiTheme="majorBidi" w:cstheme="majorBidi"/>
          <w:sz w:val="22"/>
          <w:szCs w:val="22"/>
          <w:lang w:val="en-US"/>
        </w:rPr>
        <w:footnoteReference w:id="30"/>
      </w:r>
      <w:r w:rsidR="004B3C5C" w:rsidRPr="00BB211C">
        <w:rPr>
          <w:rFonts w:asciiTheme="majorBidi" w:hAnsiTheme="majorBidi" w:cstheme="majorBidi"/>
          <w:sz w:val="22"/>
          <w:szCs w:val="22"/>
          <w:lang w:val="en-US"/>
        </w:rPr>
        <w:t>;</w:t>
      </w:r>
      <w:r w:rsidR="005B3CC6" w:rsidRPr="00BB211C">
        <w:rPr>
          <w:rFonts w:asciiTheme="majorBidi" w:hAnsiTheme="majorBidi" w:cstheme="majorBidi"/>
          <w:sz w:val="22"/>
          <w:szCs w:val="22"/>
        </w:rPr>
        <w:t xml:space="preserve"> </w:t>
      </w:r>
      <w:r w:rsidR="004B3C5C" w:rsidRPr="00BB211C">
        <w:rPr>
          <w:rFonts w:asciiTheme="majorBidi" w:hAnsiTheme="majorBidi" w:cstheme="majorBidi"/>
          <w:sz w:val="22"/>
          <w:szCs w:val="22"/>
          <w:lang w:val="en-US"/>
        </w:rPr>
        <w:t>d</w:t>
      </w:r>
      <w:r w:rsidR="005B3CC6" w:rsidRPr="00BB211C">
        <w:rPr>
          <w:rFonts w:asciiTheme="majorBidi" w:hAnsiTheme="majorBidi" w:cstheme="majorBidi"/>
          <w:sz w:val="22"/>
          <w:szCs w:val="22"/>
        </w:rPr>
        <w:t>alam hal ini hukum pidana dengan kekuatan sanksinya. Jangka</w:t>
      </w:r>
      <w:r w:rsidR="00EB72EA" w:rsidRPr="00BB211C">
        <w:rPr>
          <w:rFonts w:asciiTheme="majorBidi" w:hAnsiTheme="majorBidi" w:cstheme="majorBidi"/>
          <w:sz w:val="22"/>
          <w:szCs w:val="22"/>
        </w:rPr>
        <w:t>u</w:t>
      </w:r>
      <w:r w:rsidR="005B3CC6" w:rsidRPr="00BB211C">
        <w:rPr>
          <w:rFonts w:asciiTheme="majorBidi" w:hAnsiTheme="majorBidi" w:cstheme="majorBidi"/>
          <w:sz w:val="22"/>
          <w:szCs w:val="22"/>
        </w:rPr>
        <w:t>an hukum pidana terbatas.  Usaha pemberantasan kejahatan  secara tidak langsung dapat dilakukan dengan tindakan</w:t>
      </w:r>
      <w:r w:rsidR="00EB72EA" w:rsidRPr="00BB211C">
        <w:rPr>
          <w:rFonts w:asciiTheme="majorBidi" w:hAnsiTheme="majorBidi" w:cstheme="majorBidi"/>
          <w:sz w:val="22"/>
          <w:szCs w:val="22"/>
        </w:rPr>
        <w:t>-</w:t>
      </w:r>
      <w:r w:rsidR="005B3CC6" w:rsidRPr="00BB211C">
        <w:rPr>
          <w:rFonts w:asciiTheme="majorBidi" w:hAnsiTheme="majorBidi" w:cstheme="majorBidi"/>
          <w:sz w:val="22"/>
          <w:szCs w:val="22"/>
        </w:rPr>
        <w:t>tindakan</w:t>
      </w:r>
      <w:r w:rsidR="00EB72EA" w:rsidRPr="00BB211C">
        <w:rPr>
          <w:rFonts w:asciiTheme="majorBidi" w:hAnsiTheme="majorBidi" w:cstheme="majorBidi"/>
          <w:sz w:val="22"/>
          <w:szCs w:val="22"/>
        </w:rPr>
        <w:t xml:space="preserve"> </w:t>
      </w:r>
      <w:r w:rsidR="005B3CC6" w:rsidRPr="00BB211C">
        <w:rPr>
          <w:rFonts w:asciiTheme="majorBidi" w:hAnsiTheme="majorBidi" w:cstheme="majorBidi"/>
          <w:sz w:val="22"/>
          <w:szCs w:val="22"/>
        </w:rPr>
        <w:t>di</w:t>
      </w:r>
      <w:r w:rsidR="00EB72EA" w:rsidRPr="00BB211C">
        <w:rPr>
          <w:rFonts w:asciiTheme="majorBidi" w:hAnsiTheme="majorBidi" w:cstheme="majorBidi"/>
          <w:sz w:val="22"/>
          <w:szCs w:val="22"/>
        </w:rPr>
        <w:t xml:space="preserve"> wilayah </w:t>
      </w:r>
      <w:r w:rsidR="005B3CC6" w:rsidRPr="00BB211C">
        <w:rPr>
          <w:rFonts w:asciiTheme="majorBidi" w:hAnsiTheme="majorBidi" w:cstheme="majorBidi"/>
          <w:sz w:val="22"/>
          <w:szCs w:val="22"/>
        </w:rPr>
        <w:t xml:space="preserve">politik, ekonomi, pendidikan dan </w:t>
      </w:r>
      <w:r w:rsidR="00EB72EA" w:rsidRPr="00BB211C">
        <w:rPr>
          <w:rFonts w:asciiTheme="majorBidi" w:hAnsiTheme="majorBidi" w:cstheme="majorBidi"/>
          <w:sz w:val="22"/>
          <w:szCs w:val="22"/>
        </w:rPr>
        <w:t>lain-lain;</w:t>
      </w:r>
      <w:r w:rsidR="00A60EFB" w:rsidRPr="00BB211C">
        <w:rPr>
          <w:rFonts w:asciiTheme="majorBidi" w:hAnsiTheme="majorBidi" w:cstheme="majorBidi"/>
          <w:sz w:val="22"/>
          <w:szCs w:val="22"/>
        </w:rPr>
        <w:t xml:space="preserve"> memperkuat keberadaan asas penundukan diri ini sebagai sala</w:t>
      </w:r>
      <w:r w:rsidR="00EB72EA" w:rsidRPr="00BB211C">
        <w:rPr>
          <w:rFonts w:asciiTheme="majorBidi" w:hAnsiTheme="majorBidi" w:cstheme="majorBidi"/>
          <w:sz w:val="22"/>
          <w:szCs w:val="22"/>
        </w:rPr>
        <w:t>h</w:t>
      </w:r>
      <w:r w:rsidR="00A60EFB" w:rsidRPr="00BB211C">
        <w:rPr>
          <w:rFonts w:asciiTheme="majorBidi" w:hAnsiTheme="majorBidi" w:cstheme="majorBidi"/>
          <w:sz w:val="22"/>
          <w:szCs w:val="22"/>
        </w:rPr>
        <w:t xml:space="preserve">  satu </w:t>
      </w:r>
      <w:r w:rsidR="00EB72EA" w:rsidRPr="00BB211C">
        <w:rPr>
          <w:rFonts w:asciiTheme="majorBidi" w:hAnsiTheme="majorBidi" w:cstheme="majorBidi"/>
          <w:sz w:val="22"/>
          <w:szCs w:val="22"/>
        </w:rPr>
        <w:t>u</w:t>
      </w:r>
      <w:r w:rsidR="00A60EFB" w:rsidRPr="00BB211C">
        <w:rPr>
          <w:rFonts w:asciiTheme="majorBidi" w:hAnsiTheme="majorBidi" w:cstheme="majorBidi"/>
          <w:sz w:val="22"/>
          <w:szCs w:val="22"/>
        </w:rPr>
        <w:t>paya dalam penangulangan kejahatan tersebut.</w:t>
      </w:r>
    </w:p>
    <w:p w14:paraId="7BBE1F7A" w14:textId="2AC2E28A" w:rsidR="00A60EFB" w:rsidRPr="00BB211C" w:rsidRDefault="00253C1D" w:rsidP="006E663E">
      <w:pPr>
        <w:spacing w:before="0" w:beforeAutospacing="0" w:after="0" w:afterAutospacing="0" w:line="240" w:lineRule="auto"/>
        <w:ind w:firstLine="720"/>
        <w:jc w:val="both"/>
        <w:rPr>
          <w:rFonts w:asciiTheme="majorBidi" w:hAnsiTheme="majorBidi" w:cstheme="majorBidi"/>
          <w:sz w:val="22"/>
          <w:szCs w:val="22"/>
        </w:rPr>
      </w:pPr>
      <w:r w:rsidRPr="00BB211C">
        <w:rPr>
          <w:rFonts w:asciiTheme="majorBidi" w:hAnsiTheme="majorBidi" w:cstheme="majorBidi"/>
          <w:sz w:val="22"/>
          <w:szCs w:val="22"/>
        </w:rPr>
        <w:t>Dari kontek</w:t>
      </w:r>
      <w:r w:rsidR="00EB72EA" w:rsidRPr="00BB211C">
        <w:rPr>
          <w:rFonts w:asciiTheme="majorBidi" w:hAnsiTheme="majorBidi" w:cstheme="majorBidi"/>
          <w:sz w:val="22"/>
          <w:szCs w:val="22"/>
        </w:rPr>
        <w:t>s</w:t>
      </w:r>
      <w:r w:rsidRPr="00BB211C">
        <w:rPr>
          <w:rFonts w:asciiTheme="majorBidi" w:hAnsiTheme="majorBidi" w:cstheme="majorBidi"/>
          <w:sz w:val="22"/>
          <w:szCs w:val="22"/>
        </w:rPr>
        <w:t xml:space="preserve"> sejarah usaha untuk memberlakukan </w:t>
      </w:r>
      <w:r w:rsidR="00EB72EA" w:rsidRPr="00BB211C">
        <w:rPr>
          <w:rFonts w:asciiTheme="majorBidi" w:hAnsiTheme="majorBidi" w:cstheme="majorBidi"/>
          <w:sz w:val="22"/>
          <w:szCs w:val="22"/>
        </w:rPr>
        <w:t>S</w:t>
      </w:r>
      <w:r w:rsidRPr="00BB211C">
        <w:rPr>
          <w:rFonts w:asciiTheme="majorBidi" w:hAnsiTheme="majorBidi" w:cstheme="majorBidi"/>
          <w:sz w:val="22"/>
          <w:szCs w:val="22"/>
        </w:rPr>
        <w:t xml:space="preserve">yariat </w:t>
      </w:r>
      <w:r w:rsidR="00EB72EA" w:rsidRPr="00BB211C">
        <w:rPr>
          <w:rFonts w:asciiTheme="majorBidi" w:hAnsiTheme="majorBidi" w:cstheme="majorBidi"/>
          <w:sz w:val="22"/>
          <w:szCs w:val="22"/>
        </w:rPr>
        <w:t>I</w:t>
      </w:r>
      <w:r w:rsidRPr="00BB211C">
        <w:rPr>
          <w:rFonts w:asciiTheme="majorBidi" w:hAnsiTheme="majorBidi" w:cstheme="majorBidi"/>
          <w:sz w:val="22"/>
          <w:szCs w:val="22"/>
        </w:rPr>
        <w:t xml:space="preserve">slam di Aceh, </w:t>
      </w:r>
      <w:r w:rsidR="00EB72EA" w:rsidRPr="00BB211C">
        <w:rPr>
          <w:rFonts w:asciiTheme="majorBidi" w:hAnsiTheme="majorBidi" w:cstheme="majorBidi"/>
          <w:sz w:val="22"/>
          <w:szCs w:val="22"/>
        </w:rPr>
        <w:t xml:space="preserve">hal </w:t>
      </w:r>
      <w:r w:rsidRPr="00BB211C">
        <w:rPr>
          <w:rFonts w:asciiTheme="majorBidi" w:hAnsiTheme="majorBidi" w:cstheme="majorBidi"/>
          <w:sz w:val="22"/>
          <w:szCs w:val="22"/>
        </w:rPr>
        <w:t>itu sudah dilakukan sejak awal-awal kemerdekaan</w:t>
      </w:r>
      <w:r w:rsidR="00EB72EA" w:rsidRPr="00BB211C">
        <w:rPr>
          <w:rFonts w:asciiTheme="majorBidi" w:hAnsiTheme="majorBidi" w:cstheme="majorBidi"/>
          <w:sz w:val="22"/>
          <w:szCs w:val="22"/>
          <w:lang w:val="en-US"/>
        </w:rPr>
        <w:t>.</w:t>
      </w:r>
      <w:r w:rsidRPr="00BB211C">
        <w:rPr>
          <w:rFonts w:asciiTheme="majorBidi" w:hAnsiTheme="majorBidi" w:cstheme="majorBidi"/>
          <w:sz w:val="22"/>
          <w:szCs w:val="22"/>
        </w:rPr>
        <w:t xml:space="preserve"> </w:t>
      </w:r>
      <w:r w:rsidR="00EB72EA" w:rsidRPr="00BB211C">
        <w:rPr>
          <w:rFonts w:asciiTheme="majorBidi" w:hAnsiTheme="majorBidi" w:cstheme="majorBidi"/>
          <w:sz w:val="22"/>
          <w:szCs w:val="22"/>
        </w:rPr>
        <w:t>D</w:t>
      </w:r>
      <w:r w:rsidRPr="00BB211C">
        <w:rPr>
          <w:rFonts w:asciiTheme="majorBidi" w:hAnsiTheme="majorBidi" w:cstheme="majorBidi"/>
          <w:sz w:val="22"/>
          <w:szCs w:val="22"/>
        </w:rPr>
        <w:t xml:space="preserve">ari dokumen-dokumen yang ada, usaha itu terekam </w:t>
      </w:r>
      <w:r w:rsidR="00EB72EA" w:rsidRPr="00BB211C">
        <w:rPr>
          <w:rFonts w:asciiTheme="majorBidi" w:hAnsiTheme="majorBidi" w:cstheme="majorBidi"/>
          <w:sz w:val="22"/>
          <w:szCs w:val="22"/>
        </w:rPr>
        <w:t>dengan baik</w:t>
      </w:r>
      <w:r w:rsidRPr="00BB211C">
        <w:rPr>
          <w:rFonts w:asciiTheme="majorBidi" w:hAnsiTheme="majorBidi" w:cstheme="majorBidi"/>
          <w:sz w:val="22"/>
          <w:szCs w:val="22"/>
        </w:rPr>
        <w:t xml:space="preserve">, bahkan ada Perda tentang </w:t>
      </w:r>
      <w:r w:rsidR="00EB72EA" w:rsidRPr="00BB211C">
        <w:rPr>
          <w:rFonts w:asciiTheme="majorBidi" w:hAnsiTheme="majorBidi" w:cstheme="majorBidi"/>
          <w:sz w:val="22"/>
          <w:szCs w:val="22"/>
        </w:rPr>
        <w:t>S</w:t>
      </w:r>
      <w:r w:rsidRPr="00BB211C">
        <w:rPr>
          <w:rFonts w:asciiTheme="majorBidi" w:hAnsiTheme="majorBidi" w:cstheme="majorBidi"/>
          <w:sz w:val="22"/>
          <w:szCs w:val="22"/>
        </w:rPr>
        <w:t>yariat Islam yang tidak disetujui berlakunya oleh pemerintah Pusat</w:t>
      </w:r>
      <w:r w:rsidR="006E663E" w:rsidRPr="00BB211C">
        <w:rPr>
          <w:rFonts w:asciiTheme="majorBidi" w:hAnsiTheme="majorBidi" w:cstheme="majorBidi"/>
          <w:sz w:val="22"/>
          <w:szCs w:val="22"/>
          <w:lang w:val="en-US"/>
        </w:rPr>
        <w:t xml:space="preserve"> </w:t>
      </w:r>
      <w:r w:rsidR="00712ED2">
        <w:rPr>
          <w:rStyle w:val="FootnoteReference"/>
          <w:rFonts w:asciiTheme="majorBidi" w:hAnsiTheme="majorBidi" w:cstheme="majorBidi"/>
          <w:sz w:val="22"/>
          <w:szCs w:val="22"/>
          <w:lang w:val="en-US"/>
        </w:rPr>
        <w:footnoteReference w:id="31"/>
      </w:r>
      <w:r w:rsidR="006E663E" w:rsidRPr="00BB211C">
        <w:rPr>
          <w:rFonts w:asciiTheme="majorBidi" w:hAnsiTheme="majorBidi" w:cstheme="majorBidi"/>
          <w:sz w:val="22"/>
          <w:szCs w:val="22"/>
          <w:lang w:val="en-US"/>
        </w:rPr>
        <w:t>.</w:t>
      </w:r>
      <w:r w:rsidRPr="00BB211C">
        <w:rPr>
          <w:rFonts w:asciiTheme="majorBidi" w:hAnsiTheme="majorBidi" w:cstheme="majorBidi"/>
          <w:color w:val="FF0000"/>
          <w:sz w:val="22"/>
          <w:szCs w:val="22"/>
        </w:rPr>
        <w:t xml:space="preserve">  </w:t>
      </w:r>
      <w:r w:rsidR="006E663E" w:rsidRPr="00BB211C">
        <w:rPr>
          <w:rFonts w:asciiTheme="majorBidi" w:hAnsiTheme="majorBidi" w:cstheme="majorBidi"/>
          <w:sz w:val="22"/>
          <w:szCs w:val="22"/>
          <w:lang w:val="en-US"/>
        </w:rPr>
        <w:t>T</w:t>
      </w:r>
      <w:r w:rsidRPr="00BB211C">
        <w:rPr>
          <w:rFonts w:asciiTheme="majorBidi" w:hAnsiTheme="majorBidi" w:cstheme="majorBidi"/>
          <w:sz w:val="22"/>
          <w:szCs w:val="22"/>
          <w:lang w:val="en-US"/>
        </w:rPr>
        <w:t>erdapat juga perundang-undangan lain, selain Undang-undang N</w:t>
      </w:r>
      <w:r w:rsidR="00EB72EA" w:rsidRPr="00BB211C">
        <w:rPr>
          <w:rFonts w:asciiTheme="majorBidi" w:hAnsiTheme="majorBidi" w:cstheme="majorBidi"/>
          <w:sz w:val="22"/>
          <w:szCs w:val="22"/>
          <w:lang w:val="en-US"/>
        </w:rPr>
        <w:t>o</w:t>
      </w:r>
      <w:r w:rsidRPr="00BB211C">
        <w:rPr>
          <w:rFonts w:asciiTheme="majorBidi" w:hAnsiTheme="majorBidi" w:cstheme="majorBidi"/>
          <w:sz w:val="22"/>
          <w:szCs w:val="22"/>
          <w:lang w:val="en-US"/>
        </w:rPr>
        <w:t xml:space="preserve"> 11/2006 tentang </w:t>
      </w:r>
      <w:r w:rsidR="00EB72EA" w:rsidRPr="00BB211C">
        <w:rPr>
          <w:rFonts w:asciiTheme="majorBidi" w:hAnsiTheme="majorBidi" w:cstheme="majorBidi"/>
          <w:sz w:val="22"/>
          <w:szCs w:val="22"/>
          <w:lang w:val="en-US"/>
        </w:rPr>
        <w:t>P</w:t>
      </w:r>
      <w:r w:rsidRPr="00BB211C">
        <w:rPr>
          <w:rFonts w:asciiTheme="majorBidi" w:hAnsiTheme="majorBidi" w:cstheme="majorBidi"/>
          <w:sz w:val="22"/>
          <w:szCs w:val="22"/>
          <w:lang w:val="en-US"/>
        </w:rPr>
        <w:t>emerintahan Aceh. Artinya</w:t>
      </w:r>
      <w:r w:rsidR="00EB72EA" w:rsidRPr="00BB211C">
        <w:rPr>
          <w:rFonts w:asciiTheme="majorBidi" w:hAnsiTheme="majorBidi" w:cstheme="majorBidi"/>
          <w:sz w:val="22"/>
          <w:szCs w:val="22"/>
          <w:lang w:val="en-US"/>
        </w:rPr>
        <w:t>,</w:t>
      </w:r>
      <w:r w:rsidRPr="00BB211C">
        <w:rPr>
          <w:rFonts w:asciiTheme="majorBidi" w:hAnsiTheme="majorBidi" w:cstheme="majorBidi"/>
          <w:sz w:val="22"/>
          <w:szCs w:val="22"/>
          <w:lang w:val="en-US"/>
        </w:rPr>
        <w:t xml:space="preserve"> lahirnya qanun tentang </w:t>
      </w:r>
      <w:r w:rsidR="00EB72EA" w:rsidRPr="00BB211C">
        <w:rPr>
          <w:rFonts w:asciiTheme="majorBidi" w:hAnsiTheme="majorBidi" w:cstheme="majorBidi"/>
          <w:sz w:val="22"/>
          <w:szCs w:val="22"/>
          <w:lang w:val="en-US"/>
        </w:rPr>
        <w:t>S</w:t>
      </w:r>
      <w:r w:rsidRPr="00BB211C">
        <w:rPr>
          <w:rFonts w:asciiTheme="majorBidi" w:hAnsiTheme="majorBidi" w:cstheme="majorBidi"/>
          <w:sz w:val="22"/>
          <w:szCs w:val="22"/>
          <w:lang w:val="en-US"/>
        </w:rPr>
        <w:t xml:space="preserve">yariat </w:t>
      </w:r>
      <w:r w:rsidR="00EB72EA" w:rsidRPr="00BB211C">
        <w:rPr>
          <w:rFonts w:asciiTheme="majorBidi" w:hAnsiTheme="majorBidi" w:cstheme="majorBidi"/>
          <w:sz w:val="22"/>
          <w:szCs w:val="22"/>
          <w:lang w:val="en-US"/>
        </w:rPr>
        <w:t>I</w:t>
      </w:r>
      <w:r w:rsidRPr="00BB211C">
        <w:rPr>
          <w:rFonts w:asciiTheme="majorBidi" w:hAnsiTheme="majorBidi" w:cstheme="majorBidi"/>
          <w:sz w:val="22"/>
          <w:szCs w:val="22"/>
          <w:lang w:val="en-US"/>
        </w:rPr>
        <w:t xml:space="preserve">slam juga terkait dengan </w:t>
      </w:r>
      <w:r w:rsidR="00EB72EA" w:rsidRPr="00BB211C">
        <w:rPr>
          <w:rFonts w:asciiTheme="majorBidi" w:hAnsiTheme="majorBidi" w:cstheme="majorBidi"/>
          <w:sz w:val="22"/>
          <w:szCs w:val="22"/>
          <w:lang w:val="en-US"/>
        </w:rPr>
        <w:t>u</w:t>
      </w:r>
      <w:r w:rsidRPr="00BB211C">
        <w:rPr>
          <w:rFonts w:asciiTheme="majorBidi" w:hAnsiTheme="majorBidi" w:cstheme="majorBidi"/>
          <w:sz w:val="22"/>
          <w:szCs w:val="22"/>
          <w:lang w:val="en-US"/>
        </w:rPr>
        <w:t xml:space="preserve">ndang-undang lain. </w:t>
      </w:r>
      <w:r w:rsidRPr="00BB211C">
        <w:rPr>
          <w:rFonts w:asciiTheme="majorBidi" w:hAnsiTheme="majorBidi" w:cstheme="majorBidi"/>
          <w:sz w:val="22"/>
          <w:szCs w:val="22"/>
        </w:rPr>
        <w:t>Pada tahun 1999</w:t>
      </w:r>
      <w:r w:rsidR="00EB72EA" w:rsidRPr="00BB211C">
        <w:rPr>
          <w:rFonts w:asciiTheme="majorBidi" w:hAnsiTheme="majorBidi" w:cstheme="majorBidi"/>
          <w:sz w:val="22"/>
          <w:szCs w:val="22"/>
          <w:lang w:val="en-US"/>
        </w:rPr>
        <w:t>,</w:t>
      </w:r>
      <w:r w:rsidRPr="00BB211C">
        <w:rPr>
          <w:rFonts w:asciiTheme="majorBidi" w:hAnsiTheme="majorBidi" w:cstheme="majorBidi"/>
          <w:sz w:val="22"/>
          <w:szCs w:val="22"/>
        </w:rPr>
        <w:t xml:space="preserve"> Aceh ditetapkan sebagai daerah istimewa melalui Undang-undang No.</w:t>
      </w:r>
      <w:r w:rsidR="00EB72EA" w:rsidRPr="00BB211C">
        <w:rPr>
          <w:rFonts w:asciiTheme="majorBidi" w:hAnsiTheme="majorBidi" w:cstheme="majorBidi"/>
          <w:sz w:val="22"/>
          <w:szCs w:val="22"/>
          <w:lang w:val="en-US"/>
        </w:rPr>
        <w:t xml:space="preserve"> </w:t>
      </w:r>
      <w:r w:rsidRPr="00BB211C">
        <w:rPr>
          <w:rFonts w:asciiTheme="majorBidi" w:hAnsiTheme="majorBidi" w:cstheme="majorBidi"/>
          <w:sz w:val="22"/>
          <w:szCs w:val="22"/>
        </w:rPr>
        <w:t xml:space="preserve">44 Tahun 1999 </w:t>
      </w:r>
      <w:r w:rsidR="00EB72EA" w:rsidRPr="00BB211C">
        <w:rPr>
          <w:rFonts w:asciiTheme="majorBidi" w:hAnsiTheme="majorBidi" w:cstheme="majorBidi"/>
          <w:sz w:val="22"/>
          <w:szCs w:val="22"/>
          <w:lang w:val="en-US"/>
        </w:rPr>
        <w:t>t</w:t>
      </w:r>
      <w:r w:rsidRPr="00BB211C">
        <w:rPr>
          <w:rFonts w:asciiTheme="majorBidi" w:hAnsiTheme="majorBidi" w:cstheme="majorBidi"/>
          <w:sz w:val="22"/>
          <w:szCs w:val="22"/>
        </w:rPr>
        <w:t>entang Penyelenggaraan Keistimewaan Provinsi Daerah Istimewa Aceh. Undang-undang ini memberikan landasan yuridis pelaksanaan keistimewaan dalam bidang</w:t>
      </w:r>
      <w:r w:rsidR="00EB72EA" w:rsidRPr="00BB211C">
        <w:rPr>
          <w:rFonts w:asciiTheme="majorBidi" w:hAnsiTheme="majorBidi" w:cstheme="majorBidi"/>
          <w:sz w:val="22"/>
          <w:szCs w:val="22"/>
          <w:lang w:val="en-US"/>
        </w:rPr>
        <w:t xml:space="preserve"> (a) </w:t>
      </w:r>
      <w:r w:rsidRPr="00BB211C">
        <w:rPr>
          <w:rFonts w:asciiTheme="majorBidi" w:hAnsiTheme="majorBidi" w:cstheme="majorBidi"/>
          <w:sz w:val="22"/>
          <w:szCs w:val="22"/>
        </w:rPr>
        <w:t>Penyelenggaraan kehidupan beragama</w:t>
      </w:r>
      <w:r w:rsidR="00EB72EA" w:rsidRPr="00BB211C">
        <w:rPr>
          <w:rFonts w:asciiTheme="majorBidi" w:hAnsiTheme="majorBidi" w:cstheme="majorBidi"/>
          <w:sz w:val="22"/>
          <w:szCs w:val="22"/>
          <w:lang w:val="en-US"/>
        </w:rPr>
        <w:t xml:space="preserve">; (b) </w:t>
      </w:r>
      <w:r w:rsidRPr="00BB211C">
        <w:rPr>
          <w:rFonts w:asciiTheme="majorBidi" w:hAnsiTheme="majorBidi" w:cstheme="majorBidi"/>
          <w:sz w:val="22"/>
          <w:szCs w:val="22"/>
        </w:rPr>
        <w:t>Penyelenggaraan kehidupan adat</w:t>
      </w:r>
      <w:r w:rsidR="00EB72EA" w:rsidRPr="00BB211C">
        <w:rPr>
          <w:rFonts w:asciiTheme="majorBidi" w:hAnsiTheme="majorBidi" w:cstheme="majorBidi"/>
          <w:sz w:val="22"/>
          <w:szCs w:val="22"/>
          <w:lang w:val="en-US"/>
        </w:rPr>
        <w:t xml:space="preserve">; dan (c) </w:t>
      </w:r>
      <w:r w:rsidR="00A60EFB" w:rsidRPr="00BB211C">
        <w:rPr>
          <w:rFonts w:asciiTheme="majorBidi" w:hAnsiTheme="majorBidi" w:cstheme="majorBidi"/>
          <w:sz w:val="22"/>
          <w:szCs w:val="22"/>
          <w:lang w:val="en-US"/>
        </w:rPr>
        <w:t>P</w:t>
      </w:r>
      <w:r w:rsidRPr="00BB211C">
        <w:rPr>
          <w:rFonts w:asciiTheme="majorBidi" w:hAnsiTheme="majorBidi" w:cstheme="majorBidi"/>
          <w:sz w:val="22"/>
          <w:szCs w:val="22"/>
        </w:rPr>
        <w:t xml:space="preserve">eran Ulama dalam penetapan kebijakan daerah. </w:t>
      </w:r>
    </w:p>
    <w:p w14:paraId="4043175B" w14:textId="1A98A358" w:rsidR="00253C1D" w:rsidRPr="00BB211C" w:rsidRDefault="00A60EFB" w:rsidP="006E663E">
      <w:pPr>
        <w:tabs>
          <w:tab w:val="left" w:pos="709"/>
        </w:tabs>
        <w:spacing w:before="0" w:beforeAutospacing="0" w:after="0" w:afterAutospacing="0" w:line="240" w:lineRule="auto"/>
        <w:jc w:val="both"/>
        <w:rPr>
          <w:rFonts w:asciiTheme="majorBidi" w:hAnsiTheme="majorBidi" w:cstheme="majorBidi"/>
          <w:sz w:val="22"/>
          <w:szCs w:val="22"/>
        </w:rPr>
      </w:pPr>
      <w:r w:rsidRPr="00BB211C">
        <w:rPr>
          <w:rFonts w:asciiTheme="majorBidi" w:hAnsiTheme="majorBidi" w:cstheme="majorBidi"/>
          <w:sz w:val="22"/>
          <w:szCs w:val="22"/>
        </w:rPr>
        <w:tab/>
      </w:r>
      <w:r w:rsidR="00253C1D" w:rsidRPr="00BB211C">
        <w:rPr>
          <w:rFonts w:asciiTheme="majorBidi" w:hAnsiTheme="majorBidi" w:cstheme="majorBidi"/>
          <w:sz w:val="22"/>
          <w:szCs w:val="22"/>
        </w:rPr>
        <w:t>Berdasarkan undang-undang No.44 Tahun 1999, maka daerah Aceh dapat melaksanakan keistimewaan dalam bidang syari’at Islam dan pelaksanaan adat istiadat atau hukum adat yang hidup dan berkembang dalam masyarakat Aceh.</w:t>
      </w:r>
      <w:r w:rsidR="00253C1D" w:rsidRPr="00BB211C">
        <w:rPr>
          <w:rFonts w:asciiTheme="majorBidi" w:hAnsiTheme="majorBidi" w:cstheme="majorBidi"/>
          <w:sz w:val="22"/>
          <w:szCs w:val="22"/>
          <w:lang w:val="en-US"/>
        </w:rPr>
        <w:t xml:space="preserve"> Setelah ini juga, yakni sebelum lahirnya undang-undang </w:t>
      </w:r>
      <w:r w:rsidRPr="00BB211C">
        <w:rPr>
          <w:rFonts w:asciiTheme="majorBidi" w:hAnsiTheme="majorBidi" w:cstheme="majorBidi"/>
          <w:sz w:val="22"/>
          <w:szCs w:val="22"/>
          <w:lang w:val="en-US"/>
        </w:rPr>
        <w:t xml:space="preserve">No. </w:t>
      </w:r>
      <w:r w:rsidR="00253C1D" w:rsidRPr="00BB211C">
        <w:rPr>
          <w:rFonts w:asciiTheme="majorBidi" w:hAnsiTheme="majorBidi" w:cstheme="majorBidi"/>
          <w:sz w:val="22"/>
          <w:szCs w:val="22"/>
          <w:lang w:val="en-US"/>
        </w:rPr>
        <w:t>11/06, terdapat Undang no 18 tahun 2001 yang dikenal dengan Undang-undang Nanggroe Aceh Darussalam. Ke</w:t>
      </w:r>
      <w:r w:rsidRPr="00BB211C">
        <w:rPr>
          <w:rFonts w:asciiTheme="majorBidi" w:hAnsiTheme="majorBidi" w:cstheme="majorBidi"/>
          <w:sz w:val="22"/>
          <w:szCs w:val="22"/>
          <w:lang w:val="en-US"/>
        </w:rPr>
        <w:t>b</w:t>
      </w:r>
      <w:r w:rsidR="00253C1D" w:rsidRPr="00BB211C">
        <w:rPr>
          <w:rFonts w:asciiTheme="majorBidi" w:hAnsiTheme="majorBidi" w:cstheme="majorBidi"/>
          <w:sz w:val="22"/>
          <w:szCs w:val="22"/>
          <w:lang w:val="en-US"/>
        </w:rPr>
        <w:t>eradaa</w:t>
      </w:r>
      <w:r w:rsidRPr="00BB211C">
        <w:rPr>
          <w:rFonts w:asciiTheme="majorBidi" w:hAnsiTheme="majorBidi" w:cstheme="majorBidi"/>
          <w:sz w:val="22"/>
          <w:szCs w:val="22"/>
          <w:lang w:val="en-US"/>
        </w:rPr>
        <w:t>n</w:t>
      </w:r>
      <w:r w:rsidR="00253C1D" w:rsidRPr="00BB211C">
        <w:rPr>
          <w:rFonts w:asciiTheme="majorBidi" w:hAnsiTheme="majorBidi" w:cstheme="majorBidi"/>
          <w:sz w:val="22"/>
          <w:szCs w:val="22"/>
          <w:lang w:val="en-US"/>
        </w:rPr>
        <w:t xml:space="preserve"> beberapa undang-undang ini telah melahirkan beber</w:t>
      </w:r>
      <w:r w:rsidRPr="00BB211C">
        <w:rPr>
          <w:rFonts w:asciiTheme="majorBidi" w:hAnsiTheme="majorBidi" w:cstheme="majorBidi"/>
          <w:sz w:val="22"/>
          <w:szCs w:val="22"/>
          <w:lang w:val="en-US"/>
        </w:rPr>
        <w:t>a</w:t>
      </w:r>
      <w:r w:rsidR="00253C1D" w:rsidRPr="00BB211C">
        <w:rPr>
          <w:rFonts w:asciiTheme="majorBidi" w:hAnsiTheme="majorBidi" w:cstheme="majorBidi"/>
          <w:sz w:val="22"/>
          <w:szCs w:val="22"/>
          <w:lang w:val="en-US"/>
        </w:rPr>
        <w:t>pa Qanun Syari</w:t>
      </w:r>
      <w:r w:rsidRPr="00BB211C">
        <w:rPr>
          <w:rFonts w:asciiTheme="majorBidi" w:hAnsiTheme="majorBidi" w:cstheme="majorBidi"/>
          <w:sz w:val="22"/>
          <w:szCs w:val="22"/>
          <w:lang w:val="en-US"/>
        </w:rPr>
        <w:t>a</w:t>
      </w:r>
      <w:r w:rsidR="00253C1D" w:rsidRPr="00BB211C">
        <w:rPr>
          <w:rFonts w:asciiTheme="majorBidi" w:hAnsiTheme="majorBidi" w:cstheme="majorBidi"/>
          <w:sz w:val="22"/>
          <w:szCs w:val="22"/>
          <w:lang w:val="en-US"/>
        </w:rPr>
        <w:t xml:space="preserve">t (sebelum Qanun Jinayat), yaitu </w:t>
      </w:r>
      <w:r w:rsidR="00253C1D" w:rsidRPr="00BB211C">
        <w:rPr>
          <w:rFonts w:asciiTheme="majorBidi" w:hAnsiTheme="majorBidi" w:cstheme="majorBidi"/>
          <w:sz w:val="22"/>
          <w:szCs w:val="22"/>
        </w:rPr>
        <w:t xml:space="preserve">diberlakukannya Syariat Islam melalui  Undang-Undang Nomor  44 Tahun 1999 tentang Keistimewaan Aceh serta Undang-undasng No 18 tahun 2000 tentang Otonomi Khusu untuk Aceh yang kemudian diganti dengan Undang-undang No 11 tahun 2006 tentang Pemerintahan Aceh. Berdasarkan Undang-udang tersebut lahirlah Qanun Nomor 12, 13, 14 tahun 2003 tentang </w:t>
      </w:r>
      <w:r w:rsidR="00253C1D" w:rsidRPr="00BB211C">
        <w:rPr>
          <w:rFonts w:asciiTheme="majorBidi" w:hAnsiTheme="majorBidi" w:cstheme="majorBidi"/>
          <w:i/>
          <w:iCs/>
          <w:sz w:val="22"/>
          <w:szCs w:val="22"/>
        </w:rPr>
        <w:t>Khamar</w:t>
      </w:r>
      <w:r w:rsidR="00253C1D" w:rsidRPr="00BB211C">
        <w:rPr>
          <w:rFonts w:asciiTheme="majorBidi" w:hAnsiTheme="majorBidi" w:cstheme="majorBidi"/>
          <w:sz w:val="22"/>
          <w:szCs w:val="22"/>
        </w:rPr>
        <w:t xml:space="preserve">, </w:t>
      </w:r>
      <w:r w:rsidR="00253C1D" w:rsidRPr="00BB211C">
        <w:rPr>
          <w:rFonts w:asciiTheme="majorBidi" w:hAnsiTheme="majorBidi" w:cstheme="majorBidi"/>
          <w:i/>
          <w:iCs/>
          <w:sz w:val="22"/>
          <w:szCs w:val="22"/>
        </w:rPr>
        <w:t>Maisir</w:t>
      </w:r>
      <w:r w:rsidR="00253C1D" w:rsidRPr="00BB211C">
        <w:rPr>
          <w:rFonts w:asciiTheme="majorBidi" w:hAnsiTheme="majorBidi" w:cstheme="majorBidi"/>
          <w:sz w:val="22"/>
          <w:szCs w:val="22"/>
        </w:rPr>
        <w:t xml:space="preserve">, dan </w:t>
      </w:r>
      <w:r w:rsidR="00253C1D" w:rsidRPr="00BB211C">
        <w:rPr>
          <w:rFonts w:asciiTheme="majorBidi" w:hAnsiTheme="majorBidi" w:cstheme="majorBidi"/>
          <w:i/>
          <w:iCs/>
          <w:sz w:val="22"/>
          <w:szCs w:val="22"/>
        </w:rPr>
        <w:t>Kahlwat</w:t>
      </w:r>
      <w:r w:rsidR="00253C1D" w:rsidRPr="00BB211C">
        <w:rPr>
          <w:rFonts w:asciiTheme="majorBidi" w:hAnsiTheme="majorBidi" w:cstheme="majorBidi"/>
          <w:sz w:val="22"/>
          <w:szCs w:val="22"/>
        </w:rPr>
        <w:t xml:space="preserve">. </w:t>
      </w:r>
      <w:r w:rsidR="00BC3058" w:rsidRPr="00BB211C">
        <w:rPr>
          <w:rFonts w:asciiTheme="majorBidi" w:hAnsiTheme="majorBidi" w:cstheme="majorBidi"/>
          <w:sz w:val="22"/>
          <w:szCs w:val="22"/>
          <w:lang w:val="en-US"/>
        </w:rPr>
        <w:t>(lihat Mohd. Din, Stimulasi Pembangunan Hukm Pidana Nasional, Dari Aceh Untuk Indonesia, UNPAD Press, Bandung, 2009, hal 17)</w:t>
      </w:r>
      <w:r w:rsidRPr="00BB211C">
        <w:rPr>
          <w:rFonts w:asciiTheme="majorBidi" w:hAnsiTheme="majorBidi" w:cstheme="majorBidi"/>
          <w:sz w:val="22"/>
          <w:szCs w:val="22"/>
          <w:lang w:val="en-US"/>
        </w:rPr>
        <w:t xml:space="preserve"> </w:t>
      </w:r>
      <w:r w:rsidR="00253C1D" w:rsidRPr="00BB211C">
        <w:rPr>
          <w:rFonts w:asciiTheme="majorBidi" w:hAnsiTheme="majorBidi" w:cstheme="majorBidi"/>
          <w:sz w:val="22"/>
          <w:szCs w:val="22"/>
        </w:rPr>
        <w:t>Walaupun pada dasarnya umat Islam secara umum ingin melaksanaan Syariat Islam jauh sebelum diterapkannya Undang–Undang tersebut. Sekarang Qanun ini sudah dilebur ke dalam Qanun  nomor 6 t</w:t>
      </w:r>
      <w:r w:rsidR="00BC3058" w:rsidRPr="00BB211C">
        <w:rPr>
          <w:rFonts w:asciiTheme="majorBidi" w:hAnsiTheme="majorBidi" w:cstheme="majorBidi"/>
          <w:sz w:val="22"/>
          <w:szCs w:val="22"/>
          <w:lang w:val="en-US"/>
        </w:rPr>
        <w:t xml:space="preserve"> </w:t>
      </w:r>
      <w:r w:rsidR="00253C1D" w:rsidRPr="00BB211C">
        <w:rPr>
          <w:rFonts w:asciiTheme="majorBidi" w:hAnsiTheme="majorBidi" w:cstheme="majorBidi"/>
          <w:sz w:val="22"/>
          <w:szCs w:val="22"/>
        </w:rPr>
        <w:t>ahun 2014 tentang Jinayah yang efektif berlaku sejak tanggal 28 Oktober 2015.</w:t>
      </w:r>
      <w:r w:rsidR="00253C1D" w:rsidRPr="00BB211C">
        <w:rPr>
          <w:rFonts w:asciiTheme="majorBidi" w:hAnsiTheme="majorBidi" w:cstheme="majorBidi"/>
          <w:sz w:val="22"/>
          <w:szCs w:val="22"/>
          <w:lang w:val="en-US"/>
        </w:rPr>
        <w:t xml:space="preserve"> </w:t>
      </w:r>
    </w:p>
    <w:p w14:paraId="1F4DE3DE" w14:textId="2B3A3503" w:rsidR="005D069A" w:rsidRPr="00BB211C" w:rsidRDefault="003F7AF7" w:rsidP="006E663E">
      <w:pPr>
        <w:spacing w:before="0" w:beforeAutospacing="0" w:after="0" w:afterAutospacing="0" w:line="240" w:lineRule="auto"/>
        <w:ind w:firstLine="720"/>
        <w:jc w:val="both"/>
        <w:rPr>
          <w:rFonts w:asciiTheme="majorBidi" w:hAnsiTheme="majorBidi" w:cstheme="majorBidi"/>
          <w:sz w:val="22"/>
          <w:szCs w:val="22"/>
        </w:rPr>
      </w:pPr>
      <w:r w:rsidRPr="00BB211C">
        <w:rPr>
          <w:rFonts w:asciiTheme="majorBidi" w:hAnsiTheme="majorBidi" w:cstheme="majorBidi"/>
          <w:sz w:val="22"/>
          <w:szCs w:val="22"/>
        </w:rPr>
        <w:t xml:space="preserve">Berdasarkan uraian di atas,  </w:t>
      </w:r>
      <w:r w:rsidR="009A0501" w:rsidRPr="00BB211C">
        <w:rPr>
          <w:rFonts w:asciiTheme="majorBidi" w:hAnsiTheme="majorBidi" w:cstheme="majorBidi"/>
          <w:sz w:val="22"/>
          <w:szCs w:val="22"/>
        </w:rPr>
        <w:t xml:space="preserve">fenomena penundukan diri dalam Qanun Jinayat Aceh dapat dilihat dari tiga faktor yang saling menguatkan yaitu </w:t>
      </w:r>
      <w:r w:rsidRPr="00BB211C">
        <w:rPr>
          <w:rFonts w:asciiTheme="majorBidi" w:hAnsiTheme="majorBidi" w:cstheme="majorBidi"/>
          <w:sz w:val="22"/>
          <w:szCs w:val="22"/>
        </w:rPr>
        <w:t xml:space="preserve">diawali dengan </w:t>
      </w:r>
      <w:r w:rsidR="007C2641" w:rsidRPr="00BB211C">
        <w:rPr>
          <w:rFonts w:asciiTheme="majorBidi" w:hAnsiTheme="majorBidi" w:cstheme="majorBidi"/>
          <w:sz w:val="22"/>
          <w:szCs w:val="22"/>
        </w:rPr>
        <w:t xml:space="preserve">politik hukum yang bermakna bagaimana membuat hukum yang baik, </w:t>
      </w:r>
      <w:r w:rsidR="009A0501" w:rsidRPr="00BB211C">
        <w:rPr>
          <w:rFonts w:asciiTheme="majorBidi" w:hAnsiTheme="majorBidi" w:cstheme="majorBidi"/>
          <w:sz w:val="22"/>
          <w:szCs w:val="22"/>
        </w:rPr>
        <w:t xml:space="preserve">yaitu </w:t>
      </w:r>
      <w:r w:rsidR="007C2641" w:rsidRPr="00BB211C">
        <w:rPr>
          <w:rFonts w:asciiTheme="majorBidi" w:hAnsiTheme="majorBidi" w:cstheme="majorBidi"/>
          <w:sz w:val="22"/>
          <w:szCs w:val="22"/>
        </w:rPr>
        <w:t>memenuhi landasan filos</w:t>
      </w:r>
      <w:r w:rsidR="009A0501" w:rsidRPr="00BB211C">
        <w:rPr>
          <w:rFonts w:asciiTheme="majorBidi" w:hAnsiTheme="majorBidi" w:cstheme="majorBidi"/>
          <w:sz w:val="22"/>
          <w:szCs w:val="22"/>
        </w:rPr>
        <w:t>o</w:t>
      </w:r>
      <w:r w:rsidR="007C2641" w:rsidRPr="00BB211C">
        <w:rPr>
          <w:rFonts w:asciiTheme="majorBidi" w:hAnsiTheme="majorBidi" w:cstheme="majorBidi"/>
          <w:sz w:val="22"/>
          <w:szCs w:val="22"/>
        </w:rPr>
        <w:t>fis</w:t>
      </w:r>
      <w:r w:rsidR="00C82E66" w:rsidRPr="00BB211C">
        <w:rPr>
          <w:rFonts w:asciiTheme="majorBidi" w:hAnsiTheme="majorBidi" w:cstheme="majorBidi"/>
          <w:sz w:val="22"/>
          <w:szCs w:val="22"/>
        </w:rPr>
        <w:t xml:space="preserve"> </w:t>
      </w:r>
      <w:r w:rsidR="00C82E66" w:rsidRPr="00BB211C">
        <w:rPr>
          <w:rFonts w:asciiTheme="majorBidi" w:hAnsiTheme="majorBidi" w:cstheme="majorBidi"/>
          <w:i/>
          <w:iCs/>
          <w:sz w:val="22"/>
          <w:szCs w:val="22"/>
        </w:rPr>
        <w:t>(</w:t>
      </w:r>
      <w:r w:rsidR="009A0501" w:rsidRPr="00BB211C">
        <w:rPr>
          <w:rFonts w:asciiTheme="majorBidi" w:hAnsiTheme="majorBidi" w:cstheme="majorBidi"/>
          <w:i/>
          <w:iCs/>
          <w:sz w:val="22"/>
          <w:szCs w:val="22"/>
        </w:rPr>
        <w:t>f</w:t>
      </w:r>
      <w:r w:rsidR="00C82E66" w:rsidRPr="00BB211C">
        <w:rPr>
          <w:rFonts w:asciiTheme="majorBidi" w:hAnsiTheme="majorBidi" w:cstheme="majorBidi"/>
          <w:i/>
          <w:iCs/>
          <w:sz w:val="22"/>
          <w:szCs w:val="22"/>
        </w:rPr>
        <w:t>ilosofische grondslag)</w:t>
      </w:r>
      <w:r w:rsidR="00C82E66" w:rsidRPr="00BB211C">
        <w:rPr>
          <w:rFonts w:asciiTheme="majorBidi" w:hAnsiTheme="majorBidi" w:cstheme="majorBidi"/>
          <w:sz w:val="22"/>
          <w:szCs w:val="22"/>
        </w:rPr>
        <w:t xml:space="preserve"> yang bermakna sesuai dengan pandangan hidup suatu masyarakat</w:t>
      </w:r>
      <w:r w:rsidR="009A0501" w:rsidRPr="00BB211C">
        <w:rPr>
          <w:rFonts w:asciiTheme="majorBidi" w:hAnsiTheme="majorBidi" w:cstheme="majorBidi"/>
          <w:sz w:val="22"/>
          <w:szCs w:val="22"/>
        </w:rPr>
        <w:t>. Kedua,</w:t>
      </w:r>
      <w:r w:rsidR="007C2641" w:rsidRPr="00BB211C">
        <w:rPr>
          <w:rFonts w:asciiTheme="majorBidi" w:hAnsiTheme="majorBidi" w:cstheme="majorBidi"/>
          <w:sz w:val="22"/>
          <w:szCs w:val="22"/>
        </w:rPr>
        <w:t xml:space="preserve"> yuridis </w:t>
      </w:r>
      <w:r w:rsidR="00C82E66" w:rsidRPr="00BB211C">
        <w:rPr>
          <w:rFonts w:asciiTheme="majorBidi" w:hAnsiTheme="majorBidi" w:cstheme="majorBidi"/>
          <w:sz w:val="22"/>
          <w:szCs w:val="22"/>
        </w:rPr>
        <w:t xml:space="preserve"> </w:t>
      </w:r>
      <w:r w:rsidR="00C82E66" w:rsidRPr="00BB211C">
        <w:rPr>
          <w:rFonts w:asciiTheme="majorBidi" w:hAnsiTheme="majorBidi" w:cstheme="majorBidi"/>
          <w:i/>
          <w:iCs/>
          <w:sz w:val="22"/>
          <w:szCs w:val="22"/>
        </w:rPr>
        <w:t>(</w:t>
      </w:r>
      <w:r w:rsidR="009A0501" w:rsidRPr="00BB211C">
        <w:rPr>
          <w:rFonts w:asciiTheme="majorBidi" w:hAnsiTheme="majorBidi" w:cstheme="majorBidi"/>
          <w:i/>
          <w:iCs/>
          <w:sz w:val="22"/>
          <w:szCs w:val="22"/>
        </w:rPr>
        <w:t>j</w:t>
      </w:r>
      <w:r w:rsidR="00C82E66" w:rsidRPr="00BB211C">
        <w:rPr>
          <w:rFonts w:asciiTheme="majorBidi" w:hAnsiTheme="majorBidi" w:cstheme="majorBidi"/>
          <w:i/>
          <w:iCs/>
          <w:sz w:val="22"/>
          <w:szCs w:val="22"/>
        </w:rPr>
        <w:t>uridische grondslag)</w:t>
      </w:r>
      <w:r w:rsidR="00C82E66" w:rsidRPr="00BB211C">
        <w:rPr>
          <w:rFonts w:asciiTheme="majorBidi" w:hAnsiTheme="majorBidi" w:cstheme="majorBidi"/>
          <w:sz w:val="22"/>
          <w:szCs w:val="22"/>
        </w:rPr>
        <w:t>, yang bermak</w:t>
      </w:r>
      <w:r w:rsidR="00A60EFB" w:rsidRPr="00BB211C">
        <w:rPr>
          <w:rFonts w:asciiTheme="majorBidi" w:hAnsiTheme="majorBidi" w:cstheme="majorBidi"/>
          <w:sz w:val="22"/>
          <w:szCs w:val="22"/>
        </w:rPr>
        <w:t>n</w:t>
      </w:r>
      <w:r w:rsidR="00C82E66" w:rsidRPr="00BB211C">
        <w:rPr>
          <w:rFonts w:asciiTheme="majorBidi" w:hAnsiTheme="majorBidi" w:cstheme="majorBidi"/>
          <w:sz w:val="22"/>
          <w:szCs w:val="22"/>
        </w:rPr>
        <w:t>a</w:t>
      </w:r>
      <w:r w:rsidR="00A60EFB" w:rsidRPr="00BB211C">
        <w:rPr>
          <w:rFonts w:asciiTheme="majorBidi" w:hAnsiTheme="majorBidi" w:cstheme="majorBidi"/>
          <w:sz w:val="22"/>
          <w:szCs w:val="22"/>
        </w:rPr>
        <w:t xml:space="preserve"> </w:t>
      </w:r>
      <w:r w:rsidR="00C82E66" w:rsidRPr="00BB211C">
        <w:rPr>
          <w:rFonts w:asciiTheme="majorBidi" w:hAnsiTheme="majorBidi" w:cstheme="majorBidi"/>
          <w:sz w:val="22"/>
          <w:szCs w:val="22"/>
        </w:rPr>
        <w:t>pembuatannya me</w:t>
      </w:r>
      <w:r w:rsidR="009A0501" w:rsidRPr="00BB211C">
        <w:rPr>
          <w:rFonts w:asciiTheme="majorBidi" w:hAnsiTheme="majorBidi" w:cstheme="majorBidi"/>
          <w:sz w:val="22"/>
          <w:szCs w:val="22"/>
        </w:rPr>
        <w:t xml:space="preserve">miliki </w:t>
      </w:r>
      <w:r w:rsidR="00C82E66" w:rsidRPr="00BB211C">
        <w:rPr>
          <w:rFonts w:asciiTheme="majorBidi" w:hAnsiTheme="majorBidi" w:cstheme="majorBidi"/>
          <w:sz w:val="22"/>
          <w:szCs w:val="22"/>
        </w:rPr>
        <w:t xml:space="preserve">dasar kewenangan dan sesuai dengan tata hukum. </w:t>
      </w:r>
      <w:r w:rsidR="009A0501" w:rsidRPr="00BB211C">
        <w:rPr>
          <w:rFonts w:asciiTheme="majorBidi" w:hAnsiTheme="majorBidi" w:cstheme="majorBidi"/>
          <w:sz w:val="22"/>
          <w:szCs w:val="22"/>
        </w:rPr>
        <w:t xml:space="preserve">Ketiga, </w:t>
      </w:r>
      <w:r w:rsidR="007C2641" w:rsidRPr="00BB211C">
        <w:rPr>
          <w:rFonts w:asciiTheme="majorBidi" w:hAnsiTheme="majorBidi" w:cstheme="majorBidi"/>
          <w:sz w:val="22"/>
          <w:szCs w:val="22"/>
        </w:rPr>
        <w:t>sosiologis</w:t>
      </w:r>
      <w:r w:rsidR="00C82E66" w:rsidRPr="00BB211C">
        <w:rPr>
          <w:rFonts w:asciiTheme="majorBidi" w:hAnsiTheme="majorBidi" w:cstheme="majorBidi"/>
          <w:sz w:val="22"/>
          <w:szCs w:val="22"/>
        </w:rPr>
        <w:t xml:space="preserve"> </w:t>
      </w:r>
      <w:r w:rsidR="00A60EFB" w:rsidRPr="00BB211C">
        <w:rPr>
          <w:rFonts w:asciiTheme="majorBidi" w:hAnsiTheme="majorBidi" w:cstheme="majorBidi"/>
          <w:i/>
          <w:iCs/>
          <w:sz w:val="22"/>
          <w:szCs w:val="22"/>
        </w:rPr>
        <w:t>(</w:t>
      </w:r>
      <w:r w:rsidR="009A0501" w:rsidRPr="00BB211C">
        <w:rPr>
          <w:rFonts w:asciiTheme="majorBidi" w:hAnsiTheme="majorBidi" w:cstheme="majorBidi"/>
          <w:i/>
          <w:iCs/>
          <w:sz w:val="22"/>
          <w:szCs w:val="22"/>
        </w:rPr>
        <w:t>s</w:t>
      </w:r>
      <w:r w:rsidR="00C82E66" w:rsidRPr="00BB211C">
        <w:rPr>
          <w:rFonts w:asciiTheme="majorBidi" w:hAnsiTheme="majorBidi" w:cstheme="majorBidi"/>
          <w:i/>
          <w:iCs/>
          <w:sz w:val="22"/>
          <w:szCs w:val="22"/>
        </w:rPr>
        <w:t>osiologische grondslag)</w:t>
      </w:r>
      <w:r w:rsidR="007C2641" w:rsidRPr="00BB211C">
        <w:rPr>
          <w:rFonts w:asciiTheme="majorBidi" w:hAnsiTheme="majorBidi" w:cstheme="majorBidi"/>
          <w:sz w:val="22"/>
          <w:szCs w:val="22"/>
        </w:rPr>
        <w:t xml:space="preserve">. </w:t>
      </w:r>
      <w:r w:rsidR="00C82E66" w:rsidRPr="00BB211C">
        <w:rPr>
          <w:rFonts w:asciiTheme="majorBidi" w:hAnsiTheme="majorBidi" w:cstheme="majorBidi"/>
          <w:sz w:val="22"/>
          <w:szCs w:val="22"/>
        </w:rPr>
        <w:t>yang bermakna</w:t>
      </w:r>
      <w:r w:rsidR="007C2641" w:rsidRPr="00BB211C">
        <w:rPr>
          <w:rFonts w:asciiTheme="majorBidi" w:hAnsiTheme="majorBidi" w:cstheme="majorBidi"/>
          <w:sz w:val="22"/>
          <w:szCs w:val="22"/>
        </w:rPr>
        <w:t xml:space="preserve"> dapat berlaku secara baik dan dapat dipaksakan secara patut</w:t>
      </w:r>
      <w:r w:rsidR="00253C1D" w:rsidRPr="00BB211C">
        <w:rPr>
          <w:rFonts w:asciiTheme="majorBidi" w:hAnsiTheme="majorBidi" w:cstheme="majorBidi"/>
          <w:sz w:val="22"/>
          <w:szCs w:val="22"/>
        </w:rPr>
        <w:t xml:space="preserve">, atau dengan </w:t>
      </w:r>
      <w:r w:rsidR="009A0501" w:rsidRPr="00BB211C">
        <w:rPr>
          <w:rFonts w:asciiTheme="majorBidi" w:hAnsiTheme="majorBidi" w:cstheme="majorBidi"/>
          <w:sz w:val="22"/>
          <w:szCs w:val="22"/>
        </w:rPr>
        <w:t xml:space="preserve">kata </w:t>
      </w:r>
      <w:r w:rsidR="00253C1D" w:rsidRPr="00BB211C">
        <w:rPr>
          <w:rFonts w:asciiTheme="majorBidi" w:hAnsiTheme="majorBidi" w:cstheme="majorBidi"/>
          <w:sz w:val="22"/>
          <w:szCs w:val="22"/>
        </w:rPr>
        <w:t xml:space="preserve">lain sesuai dengan keyakinan umum atau kesadaran hukum masyarakat, maka asas penundukan diri ini dapat diangggap memenuhi  atau sesuai dengan kondsi  pada saat itu. </w:t>
      </w:r>
      <w:r w:rsidR="006E663E" w:rsidRPr="00BB211C">
        <w:rPr>
          <w:rFonts w:asciiTheme="majorBidi" w:hAnsiTheme="majorBidi" w:cstheme="majorBidi"/>
          <w:sz w:val="22"/>
          <w:szCs w:val="22"/>
        </w:rPr>
        <w:t xml:space="preserve">Faktor lain, dalam </w:t>
      </w:r>
      <w:r w:rsidRPr="00BB211C">
        <w:rPr>
          <w:rFonts w:asciiTheme="majorBidi" w:hAnsiTheme="majorBidi" w:cstheme="majorBidi"/>
          <w:sz w:val="22"/>
          <w:szCs w:val="22"/>
        </w:rPr>
        <w:t xml:space="preserve">masyarakat </w:t>
      </w:r>
      <w:r w:rsidR="00C82E66" w:rsidRPr="00BB211C">
        <w:rPr>
          <w:rFonts w:asciiTheme="majorBidi" w:hAnsiTheme="majorBidi" w:cstheme="majorBidi"/>
          <w:sz w:val="22"/>
          <w:szCs w:val="22"/>
        </w:rPr>
        <w:t>A</w:t>
      </w:r>
      <w:r w:rsidRPr="00BB211C">
        <w:rPr>
          <w:rFonts w:asciiTheme="majorBidi" w:hAnsiTheme="majorBidi" w:cstheme="majorBidi"/>
          <w:sz w:val="22"/>
          <w:szCs w:val="22"/>
        </w:rPr>
        <w:t xml:space="preserve">ceh yang sejak kemerdekaan menghendaki berlakunya </w:t>
      </w:r>
      <w:r w:rsidR="009A0501" w:rsidRPr="00BB211C">
        <w:rPr>
          <w:rFonts w:asciiTheme="majorBidi" w:hAnsiTheme="majorBidi" w:cstheme="majorBidi"/>
          <w:sz w:val="22"/>
          <w:szCs w:val="22"/>
        </w:rPr>
        <w:t>S</w:t>
      </w:r>
      <w:r w:rsidRPr="00BB211C">
        <w:rPr>
          <w:rFonts w:asciiTheme="majorBidi" w:hAnsiTheme="majorBidi" w:cstheme="majorBidi"/>
          <w:sz w:val="22"/>
          <w:szCs w:val="22"/>
        </w:rPr>
        <w:t xml:space="preserve">yariat </w:t>
      </w:r>
      <w:r w:rsidR="009A0501" w:rsidRPr="00BB211C">
        <w:rPr>
          <w:rFonts w:asciiTheme="majorBidi" w:hAnsiTheme="majorBidi" w:cstheme="majorBidi"/>
          <w:sz w:val="22"/>
          <w:szCs w:val="22"/>
        </w:rPr>
        <w:t>I</w:t>
      </w:r>
      <w:r w:rsidRPr="00BB211C">
        <w:rPr>
          <w:rFonts w:asciiTheme="majorBidi" w:hAnsiTheme="majorBidi" w:cstheme="majorBidi"/>
          <w:sz w:val="22"/>
          <w:szCs w:val="22"/>
        </w:rPr>
        <w:t xml:space="preserve">slam, </w:t>
      </w:r>
      <w:r w:rsidR="00253C1D" w:rsidRPr="00BB211C">
        <w:rPr>
          <w:rFonts w:asciiTheme="majorBidi" w:hAnsiTheme="majorBidi" w:cstheme="majorBidi"/>
          <w:sz w:val="22"/>
          <w:szCs w:val="22"/>
        </w:rPr>
        <w:t xml:space="preserve">terdapat </w:t>
      </w:r>
      <w:r w:rsidRPr="00BB211C">
        <w:rPr>
          <w:rFonts w:asciiTheme="majorBidi" w:hAnsiTheme="majorBidi" w:cstheme="majorBidi"/>
          <w:sz w:val="22"/>
          <w:szCs w:val="22"/>
        </w:rPr>
        <w:t xml:space="preserve">kekhawatiran </w:t>
      </w:r>
      <w:r w:rsidR="009A0501" w:rsidRPr="00BB211C">
        <w:rPr>
          <w:rFonts w:asciiTheme="majorBidi" w:hAnsiTheme="majorBidi" w:cstheme="majorBidi"/>
          <w:sz w:val="22"/>
          <w:szCs w:val="22"/>
        </w:rPr>
        <w:t xml:space="preserve">kemungkinan </w:t>
      </w:r>
      <w:r w:rsidRPr="00BB211C">
        <w:rPr>
          <w:rFonts w:asciiTheme="majorBidi" w:hAnsiTheme="majorBidi" w:cstheme="majorBidi"/>
          <w:sz w:val="22"/>
          <w:szCs w:val="22"/>
        </w:rPr>
        <w:t xml:space="preserve">penolakan </w:t>
      </w:r>
      <w:r w:rsidR="009A0501" w:rsidRPr="00BB211C">
        <w:rPr>
          <w:rFonts w:asciiTheme="majorBidi" w:hAnsiTheme="majorBidi" w:cstheme="majorBidi"/>
          <w:sz w:val="22"/>
          <w:szCs w:val="22"/>
        </w:rPr>
        <w:t>terhadap S</w:t>
      </w:r>
      <w:r w:rsidRPr="00BB211C">
        <w:rPr>
          <w:rFonts w:asciiTheme="majorBidi" w:hAnsiTheme="majorBidi" w:cstheme="majorBidi"/>
          <w:sz w:val="22"/>
          <w:szCs w:val="22"/>
        </w:rPr>
        <w:t xml:space="preserve">yariat </w:t>
      </w:r>
      <w:r w:rsidR="009A0501" w:rsidRPr="00BB211C">
        <w:rPr>
          <w:rFonts w:asciiTheme="majorBidi" w:hAnsiTheme="majorBidi" w:cstheme="majorBidi"/>
          <w:sz w:val="22"/>
          <w:szCs w:val="22"/>
        </w:rPr>
        <w:t>I</w:t>
      </w:r>
      <w:r w:rsidRPr="00BB211C">
        <w:rPr>
          <w:rFonts w:asciiTheme="majorBidi" w:hAnsiTheme="majorBidi" w:cstheme="majorBidi"/>
          <w:sz w:val="22"/>
          <w:szCs w:val="22"/>
        </w:rPr>
        <w:t xml:space="preserve">slam </w:t>
      </w:r>
      <w:r w:rsidR="009A0501" w:rsidRPr="00BB211C">
        <w:rPr>
          <w:rFonts w:asciiTheme="majorBidi" w:hAnsiTheme="majorBidi" w:cstheme="majorBidi"/>
          <w:sz w:val="22"/>
          <w:szCs w:val="22"/>
        </w:rPr>
        <w:t xml:space="preserve">tersebut sebagai </w:t>
      </w:r>
      <w:r w:rsidRPr="00BB211C">
        <w:rPr>
          <w:rFonts w:asciiTheme="majorBidi" w:hAnsiTheme="majorBidi" w:cstheme="majorBidi"/>
          <w:sz w:val="22"/>
          <w:szCs w:val="22"/>
        </w:rPr>
        <w:t>karena adanya kekh</w:t>
      </w:r>
      <w:r w:rsidR="009A0501" w:rsidRPr="00BB211C">
        <w:rPr>
          <w:rFonts w:asciiTheme="majorBidi" w:hAnsiTheme="majorBidi" w:cstheme="majorBidi"/>
          <w:sz w:val="22"/>
          <w:szCs w:val="22"/>
        </w:rPr>
        <w:t>a</w:t>
      </w:r>
      <w:r w:rsidRPr="00BB211C">
        <w:rPr>
          <w:rFonts w:asciiTheme="majorBidi" w:hAnsiTheme="majorBidi" w:cstheme="majorBidi"/>
          <w:sz w:val="22"/>
          <w:szCs w:val="22"/>
        </w:rPr>
        <w:t xml:space="preserve">watiran lain </w:t>
      </w:r>
      <w:r w:rsidR="009A0501" w:rsidRPr="00BB211C">
        <w:rPr>
          <w:rFonts w:asciiTheme="majorBidi" w:hAnsiTheme="majorBidi" w:cstheme="majorBidi"/>
          <w:sz w:val="22"/>
          <w:szCs w:val="22"/>
        </w:rPr>
        <w:t xml:space="preserve">yang </w:t>
      </w:r>
      <w:r w:rsidR="00A60EFB" w:rsidRPr="00BB211C">
        <w:rPr>
          <w:rFonts w:asciiTheme="majorBidi" w:hAnsiTheme="majorBidi" w:cstheme="majorBidi"/>
          <w:sz w:val="22"/>
          <w:szCs w:val="22"/>
        </w:rPr>
        <w:t>l</w:t>
      </w:r>
      <w:r w:rsidR="00253C1D" w:rsidRPr="00BB211C">
        <w:rPr>
          <w:rFonts w:asciiTheme="majorBidi" w:hAnsiTheme="majorBidi" w:cstheme="majorBidi"/>
          <w:sz w:val="22"/>
          <w:szCs w:val="22"/>
        </w:rPr>
        <w:t xml:space="preserve">ebih luas </w:t>
      </w:r>
      <w:r w:rsidR="009A0501" w:rsidRPr="00BB211C">
        <w:rPr>
          <w:rFonts w:asciiTheme="majorBidi" w:hAnsiTheme="majorBidi" w:cstheme="majorBidi"/>
          <w:sz w:val="22"/>
          <w:szCs w:val="22"/>
        </w:rPr>
        <w:t xml:space="preserve">yaitu </w:t>
      </w:r>
      <w:r w:rsidRPr="00BB211C">
        <w:rPr>
          <w:rFonts w:asciiTheme="majorBidi" w:hAnsiTheme="majorBidi" w:cstheme="majorBidi"/>
          <w:sz w:val="22"/>
          <w:szCs w:val="22"/>
        </w:rPr>
        <w:t>penerapan hukum Islam dalam Qanun Jinayat kepada non-</w:t>
      </w:r>
      <w:r w:rsidR="009A0501" w:rsidRPr="00BB211C">
        <w:rPr>
          <w:rFonts w:asciiTheme="majorBidi" w:hAnsiTheme="majorBidi" w:cstheme="majorBidi"/>
          <w:sz w:val="22"/>
          <w:szCs w:val="22"/>
        </w:rPr>
        <w:t>M</w:t>
      </w:r>
      <w:r w:rsidRPr="00BB211C">
        <w:rPr>
          <w:rFonts w:asciiTheme="majorBidi" w:hAnsiTheme="majorBidi" w:cstheme="majorBidi"/>
          <w:sz w:val="22"/>
          <w:szCs w:val="22"/>
        </w:rPr>
        <w:t>uslim</w:t>
      </w:r>
      <w:r w:rsidR="006E663E" w:rsidRPr="00BB211C">
        <w:rPr>
          <w:rFonts w:asciiTheme="majorBidi" w:hAnsiTheme="majorBidi" w:cstheme="majorBidi"/>
          <w:sz w:val="22"/>
          <w:szCs w:val="22"/>
        </w:rPr>
        <w:t>. Karena</w:t>
      </w:r>
      <w:r w:rsidR="006E663E" w:rsidRPr="00BB211C">
        <w:rPr>
          <w:rFonts w:asciiTheme="majorBidi" w:hAnsiTheme="majorBidi" w:cstheme="majorBidi"/>
          <w:sz w:val="22"/>
          <w:szCs w:val="22"/>
          <w:lang w:val="en-US"/>
        </w:rPr>
        <w:t xml:space="preserve"> itu</w:t>
      </w:r>
      <w:r w:rsidR="00FA7F76" w:rsidRPr="00BB211C">
        <w:rPr>
          <w:rFonts w:asciiTheme="majorBidi" w:hAnsiTheme="majorBidi" w:cstheme="majorBidi"/>
          <w:sz w:val="22"/>
          <w:szCs w:val="22"/>
        </w:rPr>
        <w:t xml:space="preserve">, maka pengaturan  penundukan diri dalam </w:t>
      </w:r>
      <w:r w:rsidR="006E663E" w:rsidRPr="00BB211C">
        <w:rPr>
          <w:rFonts w:asciiTheme="majorBidi" w:hAnsiTheme="majorBidi" w:cstheme="majorBidi"/>
          <w:sz w:val="22"/>
          <w:szCs w:val="22"/>
          <w:lang w:val="en-US"/>
        </w:rPr>
        <w:t>Q</w:t>
      </w:r>
      <w:r w:rsidR="00FA7F76" w:rsidRPr="00BB211C">
        <w:rPr>
          <w:rFonts w:asciiTheme="majorBidi" w:hAnsiTheme="majorBidi" w:cstheme="majorBidi"/>
          <w:sz w:val="22"/>
          <w:szCs w:val="22"/>
        </w:rPr>
        <w:t xml:space="preserve">anun Jinayat merupakan pengaturan yang baik dan itu dapat dikatakan sebagai pengecualian asas territorial dalam hukum pidana.   </w:t>
      </w:r>
      <w:r w:rsidR="00253C1D" w:rsidRPr="00BB211C">
        <w:rPr>
          <w:rFonts w:asciiTheme="majorBidi" w:hAnsiTheme="majorBidi" w:cstheme="majorBidi"/>
          <w:sz w:val="22"/>
          <w:szCs w:val="22"/>
        </w:rPr>
        <w:t xml:space="preserve">Dengan penundukan diri tersebut, masyarakat </w:t>
      </w:r>
      <w:r w:rsidR="006E663E" w:rsidRPr="00BB211C">
        <w:rPr>
          <w:rFonts w:asciiTheme="majorBidi" w:hAnsiTheme="majorBidi" w:cstheme="majorBidi"/>
          <w:sz w:val="22"/>
          <w:szCs w:val="22"/>
        </w:rPr>
        <w:t>A</w:t>
      </w:r>
      <w:r w:rsidR="00253C1D" w:rsidRPr="00BB211C">
        <w:rPr>
          <w:rFonts w:asciiTheme="majorBidi" w:hAnsiTheme="majorBidi" w:cstheme="majorBidi"/>
          <w:sz w:val="22"/>
          <w:szCs w:val="22"/>
        </w:rPr>
        <w:t xml:space="preserve">ceh akan beranggapan bahwa </w:t>
      </w:r>
      <w:r w:rsidR="006E663E" w:rsidRPr="00BB211C">
        <w:rPr>
          <w:rFonts w:asciiTheme="majorBidi" w:hAnsiTheme="majorBidi" w:cstheme="majorBidi"/>
          <w:sz w:val="22"/>
          <w:szCs w:val="22"/>
        </w:rPr>
        <w:t>S</w:t>
      </w:r>
      <w:r w:rsidR="00253C1D" w:rsidRPr="00BB211C">
        <w:rPr>
          <w:rFonts w:asciiTheme="majorBidi" w:hAnsiTheme="majorBidi" w:cstheme="majorBidi"/>
          <w:sz w:val="22"/>
          <w:szCs w:val="22"/>
        </w:rPr>
        <w:t xml:space="preserve">yariat </w:t>
      </w:r>
      <w:r w:rsidR="006E663E" w:rsidRPr="00BB211C">
        <w:rPr>
          <w:rFonts w:asciiTheme="majorBidi" w:hAnsiTheme="majorBidi" w:cstheme="majorBidi"/>
          <w:sz w:val="22"/>
          <w:szCs w:val="22"/>
        </w:rPr>
        <w:t>I</w:t>
      </w:r>
      <w:r w:rsidR="00253C1D" w:rsidRPr="00BB211C">
        <w:rPr>
          <w:rFonts w:asciiTheme="majorBidi" w:hAnsiTheme="majorBidi" w:cstheme="majorBidi"/>
          <w:sz w:val="22"/>
          <w:szCs w:val="22"/>
        </w:rPr>
        <w:t xml:space="preserve">slam yang </w:t>
      </w:r>
      <w:r w:rsidR="006E663E" w:rsidRPr="00BB211C">
        <w:rPr>
          <w:rFonts w:asciiTheme="majorBidi" w:hAnsiTheme="majorBidi" w:cstheme="majorBidi"/>
          <w:sz w:val="22"/>
          <w:szCs w:val="22"/>
        </w:rPr>
        <w:t>s</w:t>
      </w:r>
      <w:r w:rsidR="00253C1D" w:rsidRPr="00BB211C">
        <w:rPr>
          <w:rFonts w:asciiTheme="majorBidi" w:hAnsiTheme="majorBidi" w:cstheme="majorBidi"/>
          <w:sz w:val="22"/>
          <w:szCs w:val="22"/>
        </w:rPr>
        <w:t>ebagian tertuang di dalam Qanun Jinayat akan berlaku bagi orang non-</w:t>
      </w:r>
      <w:r w:rsidR="006E663E" w:rsidRPr="00BB211C">
        <w:rPr>
          <w:rFonts w:asciiTheme="majorBidi" w:hAnsiTheme="majorBidi" w:cstheme="majorBidi"/>
          <w:sz w:val="22"/>
          <w:szCs w:val="22"/>
        </w:rPr>
        <w:t>M</w:t>
      </w:r>
      <w:r w:rsidR="00253C1D" w:rsidRPr="00BB211C">
        <w:rPr>
          <w:rFonts w:asciiTheme="majorBidi" w:hAnsiTheme="majorBidi" w:cstheme="majorBidi"/>
          <w:sz w:val="22"/>
          <w:szCs w:val="22"/>
        </w:rPr>
        <w:t>uslim yang menundukan diri, sedangkan bagi non</w:t>
      </w:r>
      <w:r w:rsidR="006E663E" w:rsidRPr="00BB211C">
        <w:rPr>
          <w:rFonts w:asciiTheme="majorBidi" w:hAnsiTheme="majorBidi" w:cstheme="majorBidi"/>
          <w:sz w:val="22"/>
          <w:szCs w:val="22"/>
        </w:rPr>
        <w:t>-M</w:t>
      </w:r>
      <w:r w:rsidR="00253C1D" w:rsidRPr="00BB211C">
        <w:rPr>
          <w:rFonts w:asciiTheme="majorBidi" w:hAnsiTheme="majorBidi" w:cstheme="majorBidi"/>
          <w:sz w:val="22"/>
          <w:szCs w:val="22"/>
        </w:rPr>
        <w:t>uslim akan</w:t>
      </w:r>
      <w:r w:rsidR="00A60EFB" w:rsidRPr="00BB211C">
        <w:rPr>
          <w:rFonts w:asciiTheme="majorBidi" w:hAnsiTheme="majorBidi" w:cstheme="majorBidi"/>
          <w:sz w:val="22"/>
          <w:szCs w:val="22"/>
        </w:rPr>
        <w:t xml:space="preserve"> </w:t>
      </w:r>
      <w:r w:rsidR="00253C1D" w:rsidRPr="00BB211C">
        <w:rPr>
          <w:rFonts w:asciiTheme="majorBidi" w:hAnsiTheme="majorBidi" w:cstheme="majorBidi"/>
          <w:sz w:val="22"/>
          <w:szCs w:val="22"/>
        </w:rPr>
        <w:t xml:space="preserve">beranggapan bahwa baru dapat diberlakukan </w:t>
      </w:r>
      <w:r w:rsidR="006E663E" w:rsidRPr="00BB211C">
        <w:rPr>
          <w:rFonts w:asciiTheme="majorBidi" w:hAnsiTheme="majorBidi" w:cstheme="majorBidi"/>
          <w:sz w:val="22"/>
          <w:szCs w:val="22"/>
        </w:rPr>
        <w:t>Q</w:t>
      </w:r>
      <w:r w:rsidR="00253C1D" w:rsidRPr="00BB211C">
        <w:rPr>
          <w:rFonts w:asciiTheme="majorBidi" w:hAnsiTheme="majorBidi" w:cstheme="majorBidi"/>
          <w:sz w:val="22"/>
          <w:szCs w:val="22"/>
        </w:rPr>
        <w:t xml:space="preserve">anun </w:t>
      </w:r>
      <w:r w:rsidR="006E663E" w:rsidRPr="00BB211C">
        <w:rPr>
          <w:rFonts w:asciiTheme="majorBidi" w:hAnsiTheme="majorBidi" w:cstheme="majorBidi"/>
          <w:sz w:val="22"/>
          <w:szCs w:val="22"/>
        </w:rPr>
        <w:t>J</w:t>
      </w:r>
      <w:r w:rsidR="00253C1D" w:rsidRPr="00BB211C">
        <w:rPr>
          <w:rFonts w:asciiTheme="majorBidi" w:hAnsiTheme="majorBidi" w:cstheme="majorBidi"/>
          <w:sz w:val="22"/>
          <w:szCs w:val="22"/>
        </w:rPr>
        <w:t>inayat terhdap mereka dengan adanya penundukan diri</w:t>
      </w:r>
      <w:r w:rsidR="003F2731" w:rsidRPr="00BB211C">
        <w:rPr>
          <w:rFonts w:asciiTheme="majorBidi" w:hAnsiTheme="majorBidi" w:cstheme="majorBidi"/>
          <w:sz w:val="22"/>
          <w:szCs w:val="22"/>
        </w:rPr>
        <w:t xml:space="preserve"> terlebih dahulu</w:t>
      </w:r>
      <w:r w:rsidR="00253C1D" w:rsidRPr="00BB211C">
        <w:rPr>
          <w:rFonts w:asciiTheme="majorBidi" w:hAnsiTheme="majorBidi" w:cstheme="majorBidi"/>
          <w:sz w:val="22"/>
          <w:szCs w:val="22"/>
        </w:rPr>
        <w:t xml:space="preserve">.  </w:t>
      </w:r>
    </w:p>
    <w:p w14:paraId="0C887C13" w14:textId="77777777" w:rsidR="009A0501" w:rsidRPr="00BB211C" w:rsidRDefault="009A0501" w:rsidP="00037D10">
      <w:pPr>
        <w:spacing w:before="0" w:beforeAutospacing="0" w:after="0" w:afterAutospacing="0" w:line="240" w:lineRule="auto"/>
        <w:rPr>
          <w:rFonts w:asciiTheme="majorBidi" w:hAnsiTheme="majorBidi" w:cstheme="majorBidi"/>
          <w:b/>
          <w:sz w:val="22"/>
          <w:szCs w:val="22"/>
        </w:rPr>
      </w:pPr>
    </w:p>
    <w:p w14:paraId="0A2B8E73" w14:textId="0F2E3556" w:rsidR="005D069A" w:rsidRPr="00BB211C" w:rsidRDefault="00ED3E08" w:rsidP="00BB211C">
      <w:pPr>
        <w:pStyle w:val="ListParagraph"/>
        <w:numPr>
          <w:ilvl w:val="0"/>
          <w:numId w:val="10"/>
        </w:numPr>
        <w:spacing w:before="0" w:beforeAutospacing="0" w:after="0" w:afterAutospacing="0" w:line="240" w:lineRule="auto"/>
        <w:ind w:left="426" w:hanging="426"/>
        <w:rPr>
          <w:rFonts w:asciiTheme="majorBidi" w:hAnsiTheme="majorBidi" w:cstheme="majorBidi"/>
          <w:b/>
          <w:sz w:val="22"/>
          <w:szCs w:val="22"/>
        </w:rPr>
      </w:pPr>
      <w:r w:rsidRPr="00BB211C">
        <w:rPr>
          <w:rFonts w:asciiTheme="majorBidi" w:hAnsiTheme="majorBidi" w:cstheme="majorBidi"/>
          <w:b/>
          <w:sz w:val="22"/>
          <w:szCs w:val="22"/>
        </w:rPr>
        <w:t>Kesimpulan</w:t>
      </w:r>
    </w:p>
    <w:p w14:paraId="2B8B03C4" w14:textId="5AEBA1FE" w:rsidR="00E03710" w:rsidRPr="00BB211C" w:rsidRDefault="006B0986" w:rsidP="00E03710">
      <w:pPr>
        <w:spacing w:before="0" w:beforeAutospacing="0" w:after="0" w:afterAutospacing="0" w:line="240" w:lineRule="auto"/>
        <w:ind w:firstLine="567"/>
        <w:jc w:val="both"/>
        <w:rPr>
          <w:rFonts w:asciiTheme="majorBidi" w:hAnsiTheme="majorBidi" w:cstheme="majorBidi"/>
          <w:bCs/>
          <w:sz w:val="22"/>
          <w:szCs w:val="22"/>
        </w:rPr>
      </w:pPr>
      <w:r w:rsidRPr="00BB211C">
        <w:rPr>
          <w:rFonts w:asciiTheme="majorBidi" w:hAnsiTheme="majorBidi" w:cstheme="majorBidi"/>
          <w:bCs/>
          <w:sz w:val="22"/>
          <w:szCs w:val="22"/>
        </w:rPr>
        <w:lastRenderedPageBreak/>
        <w:t>Pemilihan hukuman pidana bagi non-</w:t>
      </w:r>
      <w:r w:rsidR="009E2FC5" w:rsidRPr="00BB211C">
        <w:rPr>
          <w:rFonts w:asciiTheme="majorBidi" w:hAnsiTheme="majorBidi" w:cstheme="majorBidi"/>
          <w:bCs/>
          <w:sz w:val="22"/>
          <w:szCs w:val="22"/>
        </w:rPr>
        <w:t>M</w:t>
      </w:r>
      <w:r w:rsidRPr="00BB211C">
        <w:rPr>
          <w:rFonts w:asciiTheme="majorBidi" w:hAnsiTheme="majorBidi" w:cstheme="majorBidi"/>
          <w:bCs/>
          <w:sz w:val="22"/>
          <w:szCs w:val="22"/>
        </w:rPr>
        <w:t>uslim yang melakukan perbuatan pidana yang diatur dalam Qanun Jinayat Aceh berdasarkan asas p</w:t>
      </w:r>
      <w:r w:rsidR="00BE6E30" w:rsidRPr="00BB211C">
        <w:rPr>
          <w:rFonts w:asciiTheme="majorBidi" w:hAnsiTheme="majorBidi" w:cstheme="majorBidi"/>
          <w:bCs/>
          <w:sz w:val="22"/>
          <w:szCs w:val="22"/>
        </w:rPr>
        <w:t xml:space="preserve">enundukan diri </w:t>
      </w:r>
      <w:r w:rsidRPr="00BB211C">
        <w:rPr>
          <w:rFonts w:asciiTheme="majorBidi" w:hAnsiTheme="majorBidi" w:cstheme="majorBidi"/>
          <w:bCs/>
          <w:sz w:val="22"/>
          <w:szCs w:val="22"/>
        </w:rPr>
        <w:t xml:space="preserve">yang sejatinya tidak dikenal dalam hukum pidana </w:t>
      </w:r>
      <w:r w:rsidR="00BE6E30" w:rsidRPr="00BB211C">
        <w:rPr>
          <w:rFonts w:asciiTheme="majorBidi" w:hAnsiTheme="majorBidi" w:cstheme="majorBidi"/>
          <w:bCs/>
          <w:sz w:val="22"/>
          <w:szCs w:val="22"/>
        </w:rPr>
        <w:t xml:space="preserve">merupakan penyimpangan dari </w:t>
      </w:r>
      <w:r w:rsidR="00BC2851" w:rsidRPr="00BB211C">
        <w:rPr>
          <w:rFonts w:asciiTheme="majorBidi" w:hAnsiTheme="majorBidi" w:cstheme="majorBidi"/>
          <w:bCs/>
          <w:sz w:val="22"/>
          <w:szCs w:val="22"/>
        </w:rPr>
        <w:t>karakter hukum pidana yang tidak mengenal asas penundukan diri, namun penerapannya dalam hukum jinayat dapat dianggap sebagai terobosan hukum pidana di Aceh yang menyesuaikan diri dengan keadaan sosial yang ada di Aceh dan tuntutan tertib sosial (tatanan hukum) yang dijunjung tinggi dalam masyarakat Aceh. Pilihan hukum bagi non-</w:t>
      </w:r>
      <w:r w:rsidR="009E2FC5" w:rsidRPr="00BB211C">
        <w:rPr>
          <w:rFonts w:asciiTheme="majorBidi" w:hAnsiTheme="majorBidi" w:cstheme="majorBidi"/>
          <w:bCs/>
          <w:sz w:val="22"/>
          <w:szCs w:val="22"/>
        </w:rPr>
        <w:t>M</w:t>
      </w:r>
      <w:r w:rsidR="00BC2851" w:rsidRPr="00BB211C">
        <w:rPr>
          <w:rFonts w:asciiTheme="majorBidi" w:hAnsiTheme="majorBidi" w:cstheme="majorBidi"/>
          <w:bCs/>
          <w:sz w:val="22"/>
          <w:szCs w:val="22"/>
        </w:rPr>
        <w:t>uslim ini sama sekali tidak bertentangan dengan hak asasi manusia, bahkan secara sosiologis lebih “disukai” non-</w:t>
      </w:r>
      <w:r w:rsidR="009E2FC5" w:rsidRPr="00BB211C">
        <w:rPr>
          <w:rFonts w:asciiTheme="majorBidi" w:hAnsiTheme="majorBidi" w:cstheme="majorBidi"/>
          <w:bCs/>
          <w:sz w:val="22"/>
          <w:szCs w:val="22"/>
        </w:rPr>
        <w:t>M</w:t>
      </w:r>
      <w:r w:rsidR="00BC2851" w:rsidRPr="00BB211C">
        <w:rPr>
          <w:rFonts w:asciiTheme="majorBidi" w:hAnsiTheme="majorBidi" w:cstheme="majorBidi"/>
          <w:bCs/>
          <w:sz w:val="22"/>
          <w:szCs w:val="22"/>
        </w:rPr>
        <w:t xml:space="preserve">uslim karena pada umumnya hakim menjatuhkan hukuman cambuk dibandingkan alternatif hukuman lainnya.   </w:t>
      </w:r>
    </w:p>
    <w:p w14:paraId="71D25BFB" w14:textId="4E8BB9D2" w:rsidR="005D069A" w:rsidRPr="00BB211C" w:rsidRDefault="00A5168E" w:rsidP="00E03710">
      <w:pPr>
        <w:spacing w:before="0" w:beforeAutospacing="0" w:after="0" w:afterAutospacing="0" w:line="240" w:lineRule="auto"/>
        <w:ind w:firstLine="567"/>
        <w:jc w:val="both"/>
        <w:rPr>
          <w:rFonts w:asciiTheme="majorBidi" w:hAnsiTheme="majorBidi" w:cstheme="majorBidi"/>
          <w:bCs/>
          <w:sz w:val="22"/>
          <w:szCs w:val="22"/>
        </w:rPr>
      </w:pPr>
      <w:r w:rsidRPr="00BB211C">
        <w:rPr>
          <w:rFonts w:asciiTheme="majorBidi" w:hAnsiTheme="majorBidi" w:cstheme="majorBidi"/>
          <w:bCs/>
          <w:sz w:val="22"/>
          <w:szCs w:val="22"/>
        </w:rPr>
        <w:t>Dalam perspektif politik hukum, aturan penundukan diri tersebut sebenarnya sudah baik se</w:t>
      </w:r>
      <w:r w:rsidR="00BC2851" w:rsidRPr="00BB211C">
        <w:rPr>
          <w:rFonts w:asciiTheme="majorBidi" w:hAnsiTheme="majorBidi" w:cstheme="majorBidi"/>
          <w:bCs/>
          <w:sz w:val="22"/>
          <w:szCs w:val="22"/>
        </w:rPr>
        <w:t>b</w:t>
      </w:r>
      <w:r w:rsidRPr="00BB211C">
        <w:rPr>
          <w:rFonts w:asciiTheme="majorBidi" w:hAnsiTheme="majorBidi" w:cstheme="majorBidi"/>
          <w:bCs/>
          <w:sz w:val="22"/>
          <w:szCs w:val="22"/>
        </w:rPr>
        <w:t xml:space="preserve">agai pengecualian </w:t>
      </w:r>
      <w:r w:rsidR="00ED3E08" w:rsidRPr="00BB211C">
        <w:rPr>
          <w:rFonts w:asciiTheme="majorBidi" w:hAnsiTheme="majorBidi" w:cstheme="majorBidi"/>
          <w:bCs/>
          <w:sz w:val="22"/>
          <w:szCs w:val="22"/>
        </w:rPr>
        <w:t xml:space="preserve">asas teritorial </w:t>
      </w:r>
      <w:r w:rsidRPr="00BB211C">
        <w:rPr>
          <w:rFonts w:asciiTheme="majorBidi" w:hAnsiTheme="majorBidi" w:cstheme="majorBidi"/>
          <w:bCs/>
          <w:sz w:val="22"/>
          <w:szCs w:val="22"/>
        </w:rPr>
        <w:t>dan</w:t>
      </w:r>
      <w:r w:rsidR="00ED3E08" w:rsidRPr="00BB211C">
        <w:rPr>
          <w:rFonts w:asciiTheme="majorBidi" w:hAnsiTheme="majorBidi" w:cstheme="majorBidi"/>
          <w:bCs/>
          <w:sz w:val="22"/>
          <w:szCs w:val="22"/>
        </w:rPr>
        <w:t xml:space="preserve"> tidak memaksakan berlakunya </w:t>
      </w:r>
      <w:r w:rsidR="00E03710" w:rsidRPr="00BB211C">
        <w:rPr>
          <w:rFonts w:asciiTheme="majorBidi" w:hAnsiTheme="majorBidi" w:cstheme="majorBidi"/>
          <w:bCs/>
          <w:sz w:val="22"/>
          <w:szCs w:val="22"/>
        </w:rPr>
        <w:t>Q</w:t>
      </w:r>
      <w:r w:rsidR="00ED3E08" w:rsidRPr="00BB211C">
        <w:rPr>
          <w:rFonts w:asciiTheme="majorBidi" w:hAnsiTheme="majorBidi" w:cstheme="majorBidi"/>
          <w:bCs/>
          <w:sz w:val="22"/>
          <w:szCs w:val="22"/>
        </w:rPr>
        <w:t xml:space="preserve">anun </w:t>
      </w:r>
      <w:r w:rsidR="00E03710" w:rsidRPr="00BB211C">
        <w:rPr>
          <w:rFonts w:asciiTheme="majorBidi" w:hAnsiTheme="majorBidi" w:cstheme="majorBidi"/>
          <w:bCs/>
          <w:sz w:val="22"/>
          <w:szCs w:val="22"/>
        </w:rPr>
        <w:t>J</w:t>
      </w:r>
      <w:r w:rsidR="00ED3E08" w:rsidRPr="00BB211C">
        <w:rPr>
          <w:rFonts w:asciiTheme="majorBidi" w:hAnsiTheme="majorBidi" w:cstheme="majorBidi"/>
          <w:bCs/>
          <w:sz w:val="22"/>
          <w:szCs w:val="22"/>
        </w:rPr>
        <w:t>inaya</w:t>
      </w:r>
      <w:r w:rsidR="00E03710" w:rsidRPr="00BB211C">
        <w:rPr>
          <w:rFonts w:asciiTheme="majorBidi" w:hAnsiTheme="majorBidi" w:cstheme="majorBidi"/>
          <w:bCs/>
          <w:sz w:val="22"/>
          <w:szCs w:val="22"/>
        </w:rPr>
        <w:t>t</w:t>
      </w:r>
      <w:r w:rsidR="00ED3E08" w:rsidRPr="00BB211C">
        <w:rPr>
          <w:rFonts w:asciiTheme="majorBidi" w:hAnsiTheme="majorBidi" w:cstheme="majorBidi"/>
          <w:bCs/>
          <w:sz w:val="22"/>
          <w:szCs w:val="22"/>
        </w:rPr>
        <w:t xml:space="preserve"> kepada non-</w:t>
      </w:r>
      <w:r w:rsidR="009E2FC5" w:rsidRPr="00BB211C">
        <w:rPr>
          <w:rFonts w:asciiTheme="majorBidi" w:hAnsiTheme="majorBidi" w:cstheme="majorBidi"/>
          <w:bCs/>
          <w:sz w:val="22"/>
          <w:szCs w:val="22"/>
          <w:lang w:val="en-US"/>
        </w:rPr>
        <w:t>M</w:t>
      </w:r>
      <w:r w:rsidR="00ED3E08" w:rsidRPr="00BB211C">
        <w:rPr>
          <w:rFonts w:asciiTheme="majorBidi" w:hAnsiTheme="majorBidi" w:cstheme="majorBidi"/>
          <w:bCs/>
          <w:sz w:val="22"/>
          <w:szCs w:val="22"/>
        </w:rPr>
        <w:t>uslim</w:t>
      </w:r>
      <w:r w:rsidR="00E03710" w:rsidRPr="00BB211C">
        <w:rPr>
          <w:rFonts w:asciiTheme="majorBidi" w:hAnsiTheme="majorBidi" w:cstheme="majorBidi"/>
          <w:bCs/>
          <w:sz w:val="22"/>
          <w:szCs w:val="22"/>
          <w:lang w:val="en-US"/>
        </w:rPr>
        <w:t>.</w:t>
      </w:r>
      <w:r w:rsidR="00ED3E08" w:rsidRPr="00BB211C">
        <w:rPr>
          <w:rFonts w:asciiTheme="majorBidi" w:hAnsiTheme="majorBidi" w:cstheme="majorBidi"/>
          <w:bCs/>
          <w:sz w:val="22"/>
          <w:szCs w:val="22"/>
        </w:rPr>
        <w:t xml:space="preserve"> Penundukan diri </w:t>
      </w:r>
      <w:r w:rsidRPr="00BB211C">
        <w:rPr>
          <w:rFonts w:asciiTheme="majorBidi" w:hAnsiTheme="majorBidi" w:cstheme="majorBidi"/>
          <w:bCs/>
          <w:sz w:val="22"/>
          <w:szCs w:val="22"/>
        </w:rPr>
        <w:t xml:space="preserve"> diformulasikan sebagai pengecualian, hanya saja di dalam pelaksanannya</w:t>
      </w:r>
      <w:r w:rsidR="00E03710" w:rsidRPr="00BB211C">
        <w:rPr>
          <w:rFonts w:asciiTheme="majorBidi" w:hAnsiTheme="majorBidi" w:cstheme="majorBidi"/>
          <w:bCs/>
          <w:sz w:val="22"/>
          <w:szCs w:val="22"/>
        </w:rPr>
        <w:t>,</w:t>
      </w:r>
      <w:r w:rsidRPr="00BB211C">
        <w:rPr>
          <w:rFonts w:asciiTheme="majorBidi" w:hAnsiTheme="majorBidi" w:cstheme="majorBidi"/>
          <w:bCs/>
          <w:sz w:val="22"/>
          <w:szCs w:val="22"/>
        </w:rPr>
        <w:t xml:space="preserve"> </w:t>
      </w:r>
      <w:r w:rsidR="00E03710" w:rsidRPr="00BB211C">
        <w:rPr>
          <w:rFonts w:asciiTheme="majorBidi" w:hAnsiTheme="majorBidi" w:cstheme="majorBidi"/>
          <w:bCs/>
          <w:sz w:val="22"/>
          <w:szCs w:val="22"/>
        </w:rPr>
        <w:t>Q</w:t>
      </w:r>
      <w:r w:rsidR="00ED3E08" w:rsidRPr="00BB211C">
        <w:rPr>
          <w:rFonts w:asciiTheme="majorBidi" w:hAnsiTheme="majorBidi" w:cstheme="majorBidi"/>
          <w:bCs/>
          <w:sz w:val="22"/>
          <w:szCs w:val="22"/>
        </w:rPr>
        <w:t xml:space="preserve">anun </w:t>
      </w:r>
      <w:r w:rsidR="00E03710" w:rsidRPr="00BB211C">
        <w:rPr>
          <w:rFonts w:asciiTheme="majorBidi" w:hAnsiTheme="majorBidi" w:cstheme="majorBidi"/>
          <w:bCs/>
          <w:sz w:val="22"/>
          <w:szCs w:val="22"/>
        </w:rPr>
        <w:t>J</w:t>
      </w:r>
      <w:r w:rsidR="00ED3E08" w:rsidRPr="00BB211C">
        <w:rPr>
          <w:rFonts w:asciiTheme="majorBidi" w:hAnsiTheme="majorBidi" w:cstheme="majorBidi"/>
          <w:bCs/>
          <w:sz w:val="22"/>
          <w:szCs w:val="22"/>
        </w:rPr>
        <w:t>inayat diidentikkan dengan pidana cambuk, p</w:t>
      </w:r>
      <w:r w:rsidR="00E03710" w:rsidRPr="00BB211C">
        <w:rPr>
          <w:rFonts w:asciiTheme="majorBidi" w:hAnsiTheme="majorBidi" w:cstheme="majorBidi"/>
          <w:bCs/>
          <w:sz w:val="22"/>
          <w:szCs w:val="22"/>
        </w:rPr>
        <w:t>a</w:t>
      </w:r>
      <w:r w:rsidR="00ED3E08" w:rsidRPr="00BB211C">
        <w:rPr>
          <w:rFonts w:asciiTheme="majorBidi" w:hAnsiTheme="majorBidi" w:cstheme="majorBidi"/>
          <w:bCs/>
          <w:sz w:val="22"/>
          <w:szCs w:val="22"/>
        </w:rPr>
        <w:t xml:space="preserve">dahal hukuman di dalam qanun </w:t>
      </w:r>
      <w:r w:rsidR="00E03710" w:rsidRPr="00BB211C">
        <w:rPr>
          <w:rFonts w:asciiTheme="majorBidi" w:hAnsiTheme="majorBidi" w:cstheme="majorBidi"/>
          <w:bCs/>
          <w:sz w:val="22"/>
          <w:szCs w:val="22"/>
        </w:rPr>
        <w:t xml:space="preserve">ini </w:t>
      </w:r>
      <w:r w:rsidR="00ED3E08" w:rsidRPr="00BB211C">
        <w:rPr>
          <w:rFonts w:asciiTheme="majorBidi" w:hAnsiTheme="majorBidi" w:cstheme="majorBidi"/>
          <w:bCs/>
          <w:sz w:val="22"/>
          <w:szCs w:val="22"/>
        </w:rPr>
        <w:t>terdiri dari cambuk, penjara dan  denda.</w:t>
      </w:r>
      <w:r w:rsidR="00E03710" w:rsidRPr="00BB211C">
        <w:rPr>
          <w:rFonts w:asciiTheme="majorBidi" w:hAnsiTheme="majorBidi" w:cstheme="majorBidi"/>
          <w:bCs/>
          <w:sz w:val="22"/>
          <w:szCs w:val="22"/>
        </w:rPr>
        <w:t xml:space="preserve"> Ketiga bentuk hukuman ini menjadi pilihan hakim dalam pertimbangannya. Karena itu, d</w:t>
      </w:r>
      <w:r w:rsidR="00ED3E08" w:rsidRPr="00BB211C">
        <w:rPr>
          <w:rFonts w:asciiTheme="majorBidi" w:hAnsiTheme="majorBidi" w:cstheme="majorBidi"/>
          <w:bCs/>
          <w:sz w:val="22"/>
          <w:szCs w:val="22"/>
        </w:rPr>
        <w:t>iharapkan dalam menjatuhkan pidana kepada non-</w:t>
      </w:r>
      <w:r w:rsidR="009E2FC5" w:rsidRPr="00BB211C">
        <w:rPr>
          <w:rFonts w:asciiTheme="majorBidi" w:hAnsiTheme="majorBidi" w:cstheme="majorBidi"/>
          <w:bCs/>
          <w:sz w:val="22"/>
          <w:szCs w:val="22"/>
        </w:rPr>
        <w:t>M</w:t>
      </w:r>
      <w:r w:rsidR="00ED3E08" w:rsidRPr="00BB211C">
        <w:rPr>
          <w:rFonts w:asciiTheme="majorBidi" w:hAnsiTheme="majorBidi" w:cstheme="majorBidi"/>
          <w:bCs/>
          <w:sz w:val="22"/>
          <w:szCs w:val="22"/>
        </w:rPr>
        <w:t>uslim hendak</w:t>
      </w:r>
      <w:r w:rsidR="00E03710" w:rsidRPr="00BB211C">
        <w:rPr>
          <w:rFonts w:asciiTheme="majorBidi" w:hAnsiTheme="majorBidi" w:cstheme="majorBidi"/>
          <w:bCs/>
          <w:sz w:val="22"/>
          <w:szCs w:val="22"/>
        </w:rPr>
        <w:t xml:space="preserve"> Jaksa Penuntu</w:t>
      </w:r>
      <w:r w:rsidR="004B6420" w:rsidRPr="00BB211C">
        <w:rPr>
          <w:rFonts w:asciiTheme="majorBidi" w:hAnsiTheme="majorBidi" w:cstheme="majorBidi"/>
          <w:bCs/>
          <w:sz w:val="22"/>
          <w:szCs w:val="22"/>
        </w:rPr>
        <w:t>t</w:t>
      </w:r>
      <w:r w:rsidR="00E03710" w:rsidRPr="00BB211C">
        <w:rPr>
          <w:rFonts w:asciiTheme="majorBidi" w:hAnsiTheme="majorBidi" w:cstheme="majorBidi"/>
          <w:bCs/>
          <w:sz w:val="22"/>
          <w:szCs w:val="22"/>
        </w:rPr>
        <w:t xml:space="preserve"> Hukum dan Hakim</w:t>
      </w:r>
      <w:r w:rsidR="00ED3E08" w:rsidRPr="00BB211C">
        <w:rPr>
          <w:rFonts w:asciiTheme="majorBidi" w:hAnsiTheme="majorBidi" w:cstheme="majorBidi"/>
          <w:bCs/>
          <w:sz w:val="22"/>
          <w:szCs w:val="22"/>
        </w:rPr>
        <w:t xml:space="preserve"> melihat kepada </w:t>
      </w:r>
      <w:r w:rsidR="00037D10" w:rsidRPr="00BB211C">
        <w:rPr>
          <w:rFonts w:asciiTheme="majorBidi" w:hAnsiTheme="majorBidi" w:cstheme="majorBidi"/>
          <w:bCs/>
          <w:sz w:val="22"/>
          <w:szCs w:val="22"/>
        </w:rPr>
        <w:t>efekti</w:t>
      </w:r>
      <w:r w:rsidR="00BC2851" w:rsidRPr="00BB211C">
        <w:rPr>
          <w:rFonts w:asciiTheme="majorBidi" w:hAnsiTheme="majorBidi" w:cstheme="majorBidi"/>
          <w:bCs/>
          <w:sz w:val="22"/>
          <w:szCs w:val="22"/>
        </w:rPr>
        <w:t>v</w:t>
      </w:r>
      <w:r w:rsidR="00037D10" w:rsidRPr="00BB211C">
        <w:rPr>
          <w:rFonts w:asciiTheme="majorBidi" w:hAnsiTheme="majorBidi" w:cstheme="majorBidi"/>
          <w:bCs/>
          <w:sz w:val="22"/>
          <w:szCs w:val="22"/>
        </w:rPr>
        <w:t>itas dari sanksi pidana.</w:t>
      </w:r>
    </w:p>
    <w:p w14:paraId="4D3C93C9" w14:textId="77777777" w:rsidR="00DE13B6" w:rsidRPr="00BB211C" w:rsidRDefault="00DE13B6" w:rsidP="00DE13B6">
      <w:pPr>
        <w:spacing w:before="0" w:beforeAutospacing="0" w:after="0" w:afterAutospacing="0" w:line="240" w:lineRule="auto"/>
        <w:jc w:val="both"/>
        <w:rPr>
          <w:rFonts w:asciiTheme="majorBidi" w:hAnsiTheme="majorBidi" w:cstheme="majorBidi"/>
          <w:bCs/>
          <w:sz w:val="22"/>
          <w:szCs w:val="22"/>
        </w:rPr>
      </w:pPr>
    </w:p>
    <w:p w14:paraId="683CA3BA" w14:textId="04A0F2F8" w:rsidR="00DE13B6" w:rsidRPr="00BB211C" w:rsidRDefault="00DE13B6" w:rsidP="00BB211C">
      <w:pPr>
        <w:spacing w:before="0" w:beforeAutospacing="0" w:after="0" w:afterAutospacing="0" w:line="240" w:lineRule="auto"/>
        <w:rPr>
          <w:rFonts w:asciiTheme="majorBidi" w:hAnsiTheme="majorBidi" w:cstheme="majorBidi"/>
          <w:b/>
          <w:sz w:val="22"/>
          <w:szCs w:val="22"/>
          <w:lang w:val="en-US"/>
        </w:rPr>
      </w:pPr>
      <w:r w:rsidRPr="00BB211C">
        <w:rPr>
          <w:rFonts w:asciiTheme="majorBidi" w:hAnsiTheme="majorBidi" w:cstheme="majorBidi"/>
          <w:b/>
          <w:sz w:val="22"/>
          <w:szCs w:val="22"/>
          <w:lang w:val="en-US"/>
        </w:rPr>
        <w:t>Daftar Pustaka</w:t>
      </w:r>
    </w:p>
    <w:p w14:paraId="3CDA3BEA" w14:textId="2F313401" w:rsidR="00712ED2" w:rsidRPr="00712ED2" w:rsidRDefault="00376218" w:rsidP="00712ED2">
      <w:pPr>
        <w:widowControl w:val="0"/>
        <w:autoSpaceDE w:val="0"/>
        <w:autoSpaceDN w:val="0"/>
        <w:adjustRightInd w:val="0"/>
        <w:spacing w:before="0" w:after="0" w:line="240" w:lineRule="auto"/>
        <w:ind w:left="480" w:hanging="480"/>
        <w:rPr>
          <w:rFonts w:ascii="Times New Roman" w:hAnsi="Times New Roman"/>
          <w:noProof/>
          <w:sz w:val="22"/>
        </w:rPr>
      </w:pPr>
      <w:r w:rsidRPr="00BB211C">
        <w:rPr>
          <w:rFonts w:asciiTheme="majorBidi" w:hAnsiTheme="majorBidi" w:cstheme="majorBidi"/>
          <w:b/>
          <w:sz w:val="22"/>
          <w:szCs w:val="22"/>
          <w:lang w:val="en-US"/>
        </w:rPr>
        <w:fldChar w:fldCharType="begin" w:fldLock="1"/>
      </w:r>
      <w:r w:rsidRPr="00BB211C">
        <w:rPr>
          <w:rFonts w:asciiTheme="majorBidi" w:hAnsiTheme="majorBidi" w:cstheme="majorBidi"/>
          <w:b/>
          <w:sz w:val="22"/>
          <w:szCs w:val="22"/>
          <w:lang w:val="en-US"/>
        </w:rPr>
        <w:instrText xml:space="preserve">ADDIN Mendeley Bibliography CSL_BIBLIOGRAPHY </w:instrText>
      </w:r>
      <w:r w:rsidRPr="00BB211C">
        <w:rPr>
          <w:rFonts w:asciiTheme="majorBidi" w:hAnsiTheme="majorBidi" w:cstheme="majorBidi"/>
          <w:b/>
          <w:sz w:val="22"/>
          <w:szCs w:val="22"/>
          <w:lang w:val="en-US"/>
        </w:rPr>
        <w:fldChar w:fldCharType="separate"/>
      </w:r>
      <w:r w:rsidR="00712ED2" w:rsidRPr="00712ED2">
        <w:rPr>
          <w:rFonts w:ascii="Times New Roman" w:hAnsi="Times New Roman"/>
          <w:noProof/>
          <w:sz w:val="22"/>
        </w:rPr>
        <w:t xml:space="preserve">Abubakar, Ali. </w:t>
      </w:r>
      <w:r w:rsidR="00712ED2" w:rsidRPr="00712ED2">
        <w:rPr>
          <w:rFonts w:ascii="Times New Roman" w:hAnsi="Times New Roman"/>
          <w:i/>
          <w:iCs/>
          <w:noProof/>
          <w:sz w:val="22"/>
        </w:rPr>
        <w:t>Kedudukan Non-Muslim Dalam Qanun Jinayat</w:t>
      </w:r>
      <w:r w:rsidR="00712ED2" w:rsidRPr="00712ED2">
        <w:rPr>
          <w:rFonts w:ascii="Times New Roman" w:hAnsi="Times New Roman"/>
          <w:noProof/>
          <w:sz w:val="22"/>
        </w:rPr>
        <w:t>. Edited by Muhammad Maulana. I. Banda Aceh: Dinas Syariat Islam Aceh, 2020.</w:t>
      </w:r>
    </w:p>
    <w:p w14:paraId="1B395BCC"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Abubakar, Ali, and Zulkarnain Lubis. </w:t>
      </w:r>
      <w:r w:rsidRPr="00712ED2">
        <w:rPr>
          <w:rFonts w:ascii="Times New Roman" w:hAnsi="Times New Roman"/>
          <w:i/>
          <w:iCs/>
          <w:noProof/>
          <w:sz w:val="22"/>
        </w:rPr>
        <w:t>Hukum Jinayat Aceh</w:t>
      </w:r>
      <w:r w:rsidRPr="00712ED2">
        <w:rPr>
          <w:rFonts w:ascii="Times New Roman" w:hAnsi="Times New Roman"/>
          <w:noProof/>
          <w:sz w:val="22"/>
        </w:rPr>
        <w:t>. I. Jakarta: Prenada Media Group, 2019.</w:t>
      </w:r>
    </w:p>
    <w:p w14:paraId="02836825"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Arief, Barda Nawawi. </w:t>
      </w:r>
      <w:r w:rsidRPr="00712ED2">
        <w:rPr>
          <w:rFonts w:ascii="Times New Roman" w:hAnsi="Times New Roman"/>
          <w:i/>
          <w:iCs/>
          <w:noProof/>
          <w:sz w:val="22"/>
        </w:rPr>
        <w:t>Bunga Rampai Kebijakan Hukum Pidana (Perkembangan Penyusunan Konsep KUHP Baru)</w:t>
      </w:r>
      <w:r w:rsidRPr="00712ED2">
        <w:rPr>
          <w:rFonts w:ascii="Times New Roman" w:hAnsi="Times New Roman"/>
          <w:noProof/>
          <w:sz w:val="22"/>
        </w:rPr>
        <w:t>. Jakarta: Kencana Prenada Media Group, 2008.</w:t>
      </w:r>
    </w:p>
    <w:p w14:paraId="063F0E6A"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 </w:t>
      </w:r>
      <w:r w:rsidRPr="00712ED2">
        <w:rPr>
          <w:rFonts w:ascii="Times New Roman" w:hAnsi="Times New Roman"/>
          <w:i/>
          <w:iCs/>
          <w:noProof/>
          <w:sz w:val="22"/>
        </w:rPr>
        <w:t>Kebijakan Legislatif Dengan Pidana Penjara</w:t>
      </w:r>
      <w:r w:rsidRPr="00712ED2">
        <w:rPr>
          <w:rFonts w:ascii="Times New Roman" w:hAnsi="Times New Roman"/>
          <w:noProof/>
          <w:sz w:val="22"/>
        </w:rPr>
        <w:t>. Semarang: Badan Penerbit Universitas Diponegoro, 1996.</w:t>
      </w:r>
    </w:p>
    <w:p w14:paraId="3C18AA1D"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Bahri, Syamsul. “INKONSISTENSI HUKUM Penerapan Hukuman Cambuk Terhadap Non-Muslim Di Aceh,” no. April (2018): 866–78. http://download.garuda.ristekdikti.go.id/article.php?article=1293019&amp;val=17308&amp;title=Inkonsistensi Hukum.</w:t>
      </w:r>
    </w:p>
    <w:p w14:paraId="1942EE73"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Chandra, Septa. “Politik Hukum Pengadopsian Restorative Justice Dalam Pembaharuan Hukum Pidana.” </w:t>
      </w:r>
      <w:r w:rsidRPr="00712ED2">
        <w:rPr>
          <w:rFonts w:ascii="Times New Roman" w:hAnsi="Times New Roman"/>
          <w:i/>
          <w:iCs/>
          <w:noProof/>
          <w:sz w:val="22"/>
        </w:rPr>
        <w:t>FIAT JUSTISIA:Jurnal Ilmu Hukum</w:t>
      </w:r>
      <w:r w:rsidRPr="00712ED2">
        <w:rPr>
          <w:rFonts w:ascii="Times New Roman" w:hAnsi="Times New Roman"/>
          <w:noProof/>
          <w:sz w:val="22"/>
        </w:rPr>
        <w:t xml:space="preserve"> 8, no. 2 (2015): 255–77. https://doi.org/10.25041/fiatjustisia.v8no2.301.</w:t>
      </w:r>
    </w:p>
    <w:p w14:paraId="37C266C1"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Gayo, Ahyar Ari. </w:t>
      </w:r>
      <w:r w:rsidRPr="00712ED2">
        <w:rPr>
          <w:rFonts w:ascii="Times New Roman" w:hAnsi="Times New Roman"/>
          <w:i/>
          <w:iCs/>
          <w:noProof/>
          <w:sz w:val="22"/>
        </w:rPr>
        <w:t>Penerapan Hukuman Cambuk Di Aceh Dalam Perspektif Hak Asasi Manusia</w:t>
      </w:r>
      <w:r w:rsidRPr="00712ED2">
        <w:rPr>
          <w:rFonts w:ascii="Times New Roman" w:hAnsi="Times New Roman"/>
          <w:noProof/>
          <w:sz w:val="22"/>
        </w:rPr>
        <w:t xml:space="preserve">. Edited by Muhaimin. </w:t>
      </w:r>
      <w:r w:rsidRPr="00712ED2">
        <w:rPr>
          <w:rFonts w:ascii="Times New Roman" w:hAnsi="Times New Roman"/>
          <w:i/>
          <w:iCs/>
          <w:noProof/>
          <w:sz w:val="22"/>
        </w:rPr>
        <w:t>BALITBANGKUMHAM Press</w:t>
      </w:r>
      <w:r w:rsidRPr="00712ED2">
        <w:rPr>
          <w:rFonts w:ascii="Times New Roman" w:hAnsi="Times New Roman"/>
          <w:noProof/>
          <w:sz w:val="22"/>
        </w:rPr>
        <w:t>. 1st ed. Vol. 1. Jakarta: BALITBANGKUMHAM Press, 2020.</w:t>
      </w:r>
    </w:p>
    <w:p w14:paraId="37ECBDB3"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Halim, Abdul. “Non-Muslims in the Qanun Jinayat and the Choice of Law in Sharia Courts in Aceh.” </w:t>
      </w:r>
      <w:r w:rsidRPr="00712ED2">
        <w:rPr>
          <w:rFonts w:ascii="Times New Roman" w:hAnsi="Times New Roman"/>
          <w:i/>
          <w:iCs/>
          <w:noProof/>
          <w:sz w:val="22"/>
        </w:rPr>
        <w:t>Human Rights Review</w:t>
      </w:r>
      <w:r w:rsidRPr="00712ED2">
        <w:rPr>
          <w:rFonts w:ascii="Times New Roman" w:hAnsi="Times New Roman"/>
          <w:noProof/>
          <w:sz w:val="22"/>
        </w:rPr>
        <w:t>, no. 0123456789 (2022). https://doi.org/10.1007/s12142-021-00645-x.</w:t>
      </w:r>
    </w:p>
    <w:p w14:paraId="10364FBA"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Hiariej, Eddy. </w:t>
      </w:r>
      <w:r w:rsidRPr="00712ED2">
        <w:rPr>
          <w:rFonts w:ascii="Times New Roman" w:hAnsi="Times New Roman"/>
          <w:i/>
          <w:iCs/>
          <w:noProof/>
          <w:sz w:val="22"/>
        </w:rPr>
        <w:t>Prinsip-Prinsip Hukum Pidana</w:t>
      </w:r>
      <w:r w:rsidRPr="00712ED2">
        <w:rPr>
          <w:rFonts w:ascii="Times New Roman" w:hAnsi="Times New Roman"/>
          <w:noProof/>
          <w:sz w:val="22"/>
        </w:rPr>
        <w:t>. Yogyakarta: Cahaya Atma Pustaka, 2016.</w:t>
      </w:r>
    </w:p>
    <w:p w14:paraId="0E9D41EE"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Hidayatulah, Ridha, A Hamid Sarong, and Dahlan Ali. “EFEKTIVITAS PENERAPAN HUKUMAN TERHADAP PELAKU TINDAK PIDANA MAISIR DALAM QANUN NOMOR 6 TAHUN 2014.” </w:t>
      </w:r>
      <w:r w:rsidRPr="00712ED2">
        <w:rPr>
          <w:rFonts w:ascii="Times New Roman" w:hAnsi="Times New Roman"/>
          <w:i/>
          <w:iCs/>
          <w:noProof/>
          <w:sz w:val="22"/>
        </w:rPr>
        <w:t>Syiah</w:t>
      </w:r>
      <w:r w:rsidRPr="00712ED2">
        <w:rPr>
          <w:rFonts w:ascii="Times New Roman" w:hAnsi="Times New Roman"/>
          <w:noProof/>
          <w:sz w:val="22"/>
        </w:rPr>
        <w:t xml:space="preserve"> 1, no. 3 (2017). http://jurnal.unsyiah.ac.id/SKLJ/article/view/9641.</w:t>
      </w:r>
    </w:p>
    <w:p w14:paraId="41F6F325"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lastRenderedPageBreak/>
        <w:t xml:space="preserve">Hoefnagels, G.P. </w:t>
      </w:r>
      <w:r w:rsidRPr="00712ED2">
        <w:rPr>
          <w:rFonts w:ascii="Times New Roman" w:hAnsi="Times New Roman"/>
          <w:i/>
          <w:iCs/>
          <w:noProof/>
          <w:sz w:val="22"/>
        </w:rPr>
        <w:t>The Other Side of Chriminology</w:t>
      </w:r>
      <w:r w:rsidRPr="00712ED2">
        <w:rPr>
          <w:rFonts w:ascii="Times New Roman" w:hAnsi="Times New Roman"/>
          <w:noProof/>
          <w:sz w:val="22"/>
        </w:rPr>
        <w:t>. Holland: Deventer-Kluwer, 1978.</w:t>
      </w:r>
    </w:p>
    <w:p w14:paraId="39DAA84F"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Irsan, Koesparmono. “Arah Politik Hukum Pidana Dalam Rencana Undang-Undang Hukum Pidana.” </w:t>
      </w:r>
      <w:r w:rsidRPr="00712ED2">
        <w:rPr>
          <w:rFonts w:ascii="Times New Roman" w:hAnsi="Times New Roman"/>
          <w:i/>
          <w:iCs/>
          <w:noProof/>
          <w:sz w:val="22"/>
        </w:rPr>
        <w:t>Jurnal Keamanan Nasional</w:t>
      </w:r>
      <w:r w:rsidRPr="00712ED2">
        <w:rPr>
          <w:rFonts w:ascii="Times New Roman" w:hAnsi="Times New Roman"/>
          <w:noProof/>
          <w:sz w:val="22"/>
        </w:rPr>
        <w:t xml:space="preserve"> 1, no. 1 (2015): 79–104. https://doi.org/10.31599/jkn.v1i1.14.</w:t>
      </w:r>
    </w:p>
    <w:p w14:paraId="1477BEAF"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Mahfud, Moh. </w:t>
      </w:r>
      <w:r w:rsidRPr="00712ED2">
        <w:rPr>
          <w:rFonts w:ascii="Times New Roman" w:hAnsi="Times New Roman"/>
          <w:i/>
          <w:iCs/>
          <w:noProof/>
          <w:sz w:val="22"/>
        </w:rPr>
        <w:t>Politik Hukum Di Indonesia</w:t>
      </w:r>
      <w:r w:rsidRPr="00712ED2">
        <w:rPr>
          <w:rFonts w:ascii="Times New Roman" w:hAnsi="Times New Roman"/>
          <w:noProof/>
          <w:sz w:val="22"/>
        </w:rPr>
        <w:t>. Jakarta: Rajawali Press, 2014.</w:t>
      </w:r>
    </w:p>
    <w:p w14:paraId="50DB0D33"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Mahmuddin, Mansari, Khairuddin, Ahmad Fikri Aslami, and Mul Irawan. “Enforcement of Jinayat Law for Non-Muslims in Aceh.” </w:t>
      </w:r>
      <w:r w:rsidRPr="00712ED2">
        <w:rPr>
          <w:rFonts w:ascii="Times New Roman" w:hAnsi="Times New Roman"/>
          <w:i/>
          <w:iCs/>
          <w:noProof/>
          <w:sz w:val="22"/>
        </w:rPr>
        <w:t>JHP Jurnal Hukum Dan Peradilan</w:t>
      </w:r>
      <w:r w:rsidRPr="00712ED2">
        <w:rPr>
          <w:rFonts w:ascii="Times New Roman" w:hAnsi="Times New Roman"/>
          <w:noProof/>
          <w:sz w:val="22"/>
        </w:rPr>
        <w:t xml:space="preserve"> 11 (2022): 21–42.</w:t>
      </w:r>
    </w:p>
    <w:p w14:paraId="7E963E42"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Melayu, Hasnul Arifin, Md Zawawi bin Abubakar, and Norruzeyati binti Che Mohd Nasir. “Minorities in the Shari`a Territory: The Position of Non-Muslim in Aceh’s Jinayat Law.” </w:t>
      </w:r>
      <w:r w:rsidRPr="00712ED2">
        <w:rPr>
          <w:rFonts w:ascii="Times New Roman" w:hAnsi="Times New Roman"/>
          <w:i/>
          <w:iCs/>
          <w:noProof/>
          <w:sz w:val="22"/>
        </w:rPr>
        <w:t>Legitimasi, Jurnal Hukum Pidana Dan Politik Hukum</w:t>
      </w:r>
      <w:r w:rsidRPr="00712ED2">
        <w:rPr>
          <w:rFonts w:ascii="Times New Roman" w:hAnsi="Times New Roman"/>
          <w:noProof/>
          <w:sz w:val="22"/>
        </w:rPr>
        <w:t xml:space="preserve"> 10, no. 2 (2021). https://jurnal.ar-raniry.ac.id/index.php/legitimasi/article/view/10521.</w:t>
      </w:r>
    </w:p>
    <w:p w14:paraId="64DF56EC"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Miranda, Erick, and Mohd Din. “KAJIAN NORMATIF ATAS PEMBERLAKUAN HUKUMAN CAMBUK DALAM QANUN NOMOR 6 TAHUN 2014 TENTANG HUKUM JINAYAT TERHADAP NON MUSLIM” 2, no. 3 (2018): 606–16. http://jim.unsyiah.ac.id/pidana/article/download/14423/6086.</w:t>
      </w:r>
    </w:p>
    <w:p w14:paraId="671679C4"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Muladi. “Politik Hukum Pidana, Dasar Kriminalisasi Dan Dekriminalisasi Serta Beberapa Perkembangan Asas Dalam RUU KUHP.” Jakarta, 2006.</w:t>
      </w:r>
    </w:p>
    <w:p w14:paraId="644A52D4"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Muthalib, Salman Abdul, Masrizal, Irwan Abdullah, M. Yusuf, and Hasnul Arifin Melayu. “Public Services for Non-Muslims in Aceh: Non-Muslim Rights in The Application of Islamic Sharia Law.” </w:t>
      </w:r>
      <w:r w:rsidRPr="00712ED2">
        <w:rPr>
          <w:rFonts w:ascii="Times New Roman" w:hAnsi="Times New Roman"/>
          <w:i/>
          <w:iCs/>
          <w:noProof/>
          <w:sz w:val="22"/>
        </w:rPr>
        <w:t>Res Militaris</w:t>
      </w:r>
      <w:r w:rsidRPr="00712ED2">
        <w:rPr>
          <w:rFonts w:ascii="Times New Roman" w:hAnsi="Times New Roman"/>
          <w:noProof/>
          <w:sz w:val="22"/>
        </w:rPr>
        <w:t xml:space="preserve"> 12, no. 2 (2022): 85–101.</w:t>
      </w:r>
    </w:p>
    <w:p w14:paraId="12588E2C"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Narindrani, Fuzi. “Penyelesaian Korupsi Dengan Menggunakan Restoratif Justice (Corruption Settlement Using Justice Restoratives).” </w:t>
      </w:r>
      <w:r w:rsidRPr="00712ED2">
        <w:rPr>
          <w:rFonts w:ascii="Times New Roman" w:hAnsi="Times New Roman"/>
          <w:i/>
          <w:iCs/>
          <w:noProof/>
          <w:sz w:val="22"/>
        </w:rPr>
        <w:t>Jurnal Penelitian Hukum De Jure</w:t>
      </w:r>
      <w:r w:rsidRPr="00712ED2">
        <w:rPr>
          <w:rFonts w:ascii="Times New Roman" w:hAnsi="Times New Roman"/>
          <w:noProof/>
          <w:sz w:val="22"/>
        </w:rPr>
        <w:t xml:space="preserve"> 20, no. 4 (2020): 605–17.</w:t>
      </w:r>
    </w:p>
    <w:p w14:paraId="6A52EAD3"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Nusantara, Abdul Hakim Garuda. “Politik Hukum Nasional.” Surabaya, 1985.</w:t>
      </w:r>
    </w:p>
    <w:p w14:paraId="0A078D60"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Radhie, Teuku Mohammad. “Pembaharuan Dan Politik Hukum Dalam Rangka Pembangunan Nasional.” </w:t>
      </w:r>
      <w:r w:rsidRPr="00712ED2">
        <w:rPr>
          <w:rFonts w:ascii="Times New Roman" w:hAnsi="Times New Roman"/>
          <w:i/>
          <w:iCs/>
          <w:noProof/>
          <w:sz w:val="22"/>
        </w:rPr>
        <w:t>Majalah Prisma No. 62 Tahun II</w:t>
      </w:r>
      <w:r w:rsidRPr="00712ED2">
        <w:rPr>
          <w:rFonts w:ascii="Times New Roman" w:hAnsi="Times New Roman"/>
          <w:noProof/>
          <w:sz w:val="22"/>
        </w:rPr>
        <w:t>, 1973.</w:t>
      </w:r>
    </w:p>
    <w:p w14:paraId="5EC764DB"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Rahardjo, Satjipto. </w:t>
      </w:r>
      <w:r w:rsidRPr="00712ED2">
        <w:rPr>
          <w:rFonts w:ascii="Times New Roman" w:hAnsi="Times New Roman"/>
          <w:i/>
          <w:iCs/>
          <w:noProof/>
          <w:sz w:val="22"/>
        </w:rPr>
        <w:t>Ilmu Hukum</w:t>
      </w:r>
      <w:r w:rsidRPr="00712ED2">
        <w:rPr>
          <w:rFonts w:ascii="Times New Roman" w:hAnsi="Times New Roman"/>
          <w:noProof/>
          <w:sz w:val="22"/>
        </w:rPr>
        <w:t>. Bandung: Citra Aditya Bakti, 1991.</w:t>
      </w:r>
    </w:p>
    <w:p w14:paraId="2274FC41"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Soedarto. </w:t>
      </w:r>
      <w:r w:rsidRPr="00712ED2">
        <w:rPr>
          <w:rFonts w:ascii="Times New Roman" w:hAnsi="Times New Roman"/>
          <w:i/>
          <w:iCs/>
          <w:noProof/>
          <w:sz w:val="22"/>
        </w:rPr>
        <w:t>Hukum Acara Pidana Dan Perkembangan Masyarakat</w:t>
      </w:r>
      <w:r w:rsidRPr="00712ED2">
        <w:rPr>
          <w:rFonts w:ascii="Times New Roman" w:hAnsi="Times New Roman"/>
          <w:noProof/>
          <w:sz w:val="22"/>
        </w:rPr>
        <w:t>. Bandung: Sinar Baru, 1994.</w:t>
      </w:r>
    </w:p>
    <w:p w14:paraId="7CFE0328"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Stefanus, Kotan Y. </w:t>
      </w:r>
      <w:r w:rsidRPr="00712ED2">
        <w:rPr>
          <w:rFonts w:ascii="Times New Roman" w:hAnsi="Times New Roman"/>
          <w:i/>
          <w:iCs/>
          <w:noProof/>
          <w:sz w:val="22"/>
        </w:rPr>
        <w:t>Perkembangan Kekuasaan Pemerintahan Negara (Dimensi Pendekatan Politik Hukum Terhadap Kekuasaan Presiden Menurut Undang-Undang Dasar 1945)</w:t>
      </w:r>
      <w:r w:rsidRPr="00712ED2">
        <w:rPr>
          <w:rFonts w:ascii="Times New Roman" w:hAnsi="Times New Roman"/>
          <w:noProof/>
          <w:sz w:val="22"/>
        </w:rPr>
        <w:t>. Yogyakarta: Universitas Atma Jaya, 1998.</w:t>
      </w:r>
    </w:p>
    <w:p w14:paraId="37CC028E"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Sudarto. </w:t>
      </w:r>
      <w:r w:rsidRPr="00712ED2">
        <w:rPr>
          <w:rFonts w:ascii="Times New Roman" w:hAnsi="Times New Roman"/>
          <w:i/>
          <w:iCs/>
          <w:noProof/>
          <w:sz w:val="22"/>
        </w:rPr>
        <w:t>Hukum Dan Hukum Pidana</w:t>
      </w:r>
      <w:r w:rsidRPr="00712ED2">
        <w:rPr>
          <w:rFonts w:ascii="Times New Roman" w:hAnsi="Times New Roman"/>
          <w:noProof/>
          <w:sz w:val="22"/>
        </w:rPr>
        <w:t>. Bandung: Alumni, 1981.</w:t>
      </w:r>
    </w:p>
    <w:p w14:paraId="288AC027"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 </w:t>
      </w:r>
      <w:r w:rsidRPr="00712ED2">
        <w:rPr>
          <w:rFonts w:ascii="Times New Roman" w:hAnsi="Times New Roman"/>
          <w:i/>
          <w:iCs/>
          <w:noProof/>
          <w:sz w:val="22"/>
        </w:rPr>
        <w:t>Hukum Pidana Dan Perkembangan Masyarakat</w:t>
      </w:r>
      <w:r w:rsidRPr="00712ED2">
        <w:rPr>
          <w:rFonts w:ascii="Times New Roman" w:hAnsi="Times New Roman"/>
          <w:noProof/>
          <w:sz w:val="22"/>
        </w:rPr>
        <w:t>. Bandung: Sinar Baru, 1983.</w:t>
      </w:r>
    </w:p>
    <w:p w14:paraId="6DFA6557"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Suhariyanto, Budi. “KEDUDUKAN PERDAMAIAN SEBAGAI PENGHAPUS PEMIDANAAN GUNA MEWUJUDKAN KEADILAN DALAM PEMBARUAN HUKUM PIDANA (Peace Agreement Position in Dismissing Penalty Imposition to Achieve Justice in Criminal Law </w:t>
      </w:r>
      <w:r w:rsidRPr="00712ED2">
        <w:rPr>
          <w:rFonts w:ascii="Times New Roman" w:hAnsi="Times New Roman"/>
          <w:noProof/>
          <w:sz w:val="22"/>
        </w:rPr>
        <w:lastRenderedPageBreak/>
        <w:t>Reform)” 6, no. 1 (2017): 1–20.</w:t>
      </w:r>
    </w:p>
    <w:p w14:paraId="3A0EBE41"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Suparmin, Sudirman. “Hukuman Cambuk Terhadap Non Muslim Pelaku Jarimah Di Nanggroe Aceh Darussalam (Studi Putusan No.01/JN/2016/MS.TKN).” </w:t>
      </w:r>
      <w:r w:rsidRPr="00712ED2">
        <w:rPr>
          <w:rFonts w:ascii="Times New Roman" w:hAnsi="Times New Roman"/>
          <w:i/>
          <w:iCs/>
          <w:noProof/>
          <w:sz w:val="22"/>
        </w:rPr>
        <w:t>Analytical Islamica</w:t>
      </w:r>
      <w:r w:rsidRPr="00712ED2">
        <w:rPr>
          <w:rFonts w:ascii="Times New Roman" w:hAnsi="Times New Roman"/>
          <w:noProof/>
          <w:sz w:val="22"/>
        </w:rPr>
        <w:t xml:space="preserve"> 6, no. 2 (2017): 146–55. http://jurnal.uinsu.ac.id/index.php/analytica/article/download/1279/1042.</w:t>
      </w:r>
    </w:p>
    <w:p w14:paraId="62A5A2FF"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Sutrisno, Endang. </w:t>
      </w:r>
      <w:r w:rsidRPr="00712ED2">
        <w:rPr>
          <w:rFonts w:ascii="Times New Roman" w:hAnsi="Times New Roman"/>
          <w:i/>
          <w:iCs/>
          <w:noProof/>
          <w:sz w:val="22"/>
        </w:rPr>
        <w:t>Bunga Rampai Hukum Dan Globalisasi</w:t>
      </w:r>
      <w:r w:rsidRPr="00712ED2">
        <w:rPr>
          <w:rFonts w:ascii="Times New Roman" w:hAnsi="Times New Roman"/>
          <w:noProof/>
          <w:sz w:val="22"/>
        </w:rPr>
        <w:t>. Yogyakarta: Genta Press, 2009.</w:t>
      </w:r>
    </w:p>
    <w:p w14:paraId="076AF33F"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Syarif, Nurrohman. “Transformation and Reformation of Islamic Criminal Law; The Study on Aceh Qanun Jinayat and Its Impact To Woman and Non-Muslim.” </w:t>
      </w:r>
      <w:r w:rsidRPr="00712ED2">
        <w:rPr>
          <w:rFonts w:ascii="Times New Roman" w:hAnsi="Times New Roman"/>
          <w:i/>
          <w:iCs/>
          <w:noProof/>
          <w:sz w:val="22"/>
        </w:rPr>
        <w:t>Jurnal Dinamika Hukum</w:t>
      </w:r>
      <w:r w:rsidRPr="00712ED2">
        <w:rPr>
          <w:rFonts w:ascii="Times New Roman" w:hAnsi="Times New Roman"/>
          <w:noProof/>
          <w:sz w:val="22"/>
        </w:rPr>
        <w:t xml:space="preserve"> 19, no. 2 (2019): 423–48.</w:t>
      </w:r>
    </w:p>
    <w:p w14:paraId="2D026CDD"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Syaukani, Imam, and A Ahsin Thohari. </w:t>
      </w:r>
      <w:r w:rsidRPr="00712ED2">
        <w:rPr>
          <w:rFonts w:ascii="Times New Roman" w:hAnsi="Times New Roman"/>
          <w:i/>
          <w:iCs/>
          <w:noProof/>
          <w:sz w:val="22"/>
        </w:rPr>
        <w:t>Dasar-Dasar Polik Hukum</w:t>
      </w:r>
      <w:r w:rsidRPr="00712ED2">
        <w:rPr>
          <w:rFonts w:ascii="Times New Roman" w:hAnsi="Times New Roman"/>
          <w:noProof/>
          <w:sz w:val="22"/>
        </w:rPr>
        <w:t>. Jakarta: Raja Grafindo Persada, 2012.</w:t>
      </w:r>
    </w:p>
    <w:p w14:paraId="51171DDF" w14:textId="77777777" w:rsidR="00712ED2" w:rsidRPr="00712ED2" w:rsidRDefault="00712ED2" w:rsidP="00712ED2">
      <w:pPr>
        <w:widowControl w:val="0"/>
        <w:autoSpaceDE w:val="0"/>
        <w:autoSpaceDN w:val="0"/>
        <w:adjustRightInd w:val="0"/>
        <w:spacing w:before="0" w:after="0" w:line="240" w:lineRule="auto"/>
        <w:ind w:left="480" w:hanging="480"/>
        <w:rPr>
          <w:rFonts w:ascii="Times New Roman" w:hAnsi="Times New Roman"/>
          <w:noProof/>
          <w:sz w:val="22"/>
        </w:rPr>
      </w:pPr>
      <w:r w:rsidRPr="00712ED2">
        <w:rPr>
          <w:rFonts w:ascii="Times New Roman" w:hAnsi="Times New Roman"/>
          <w:noProof/>
          <w:sz w:val="22"/>
        </w:rPr>
        <w:t xml:space="preserve">Wahyono, Padmo. </w:t>
      </w:r>
      <w:r w:rsidRPr="00712ED2">
        <w:rPr>
          <w:rFonts w:ascii="Times New Roman" w:hAnsi="Times New Roman"/>
          <w:i/>
          <w:iCs/>
          <w:noProof/>
          <w:sz w:val="22"/>
        </w:rPr>
        <w:t>Indonesia Negara Berdasarkan Atas Hukum</w:t>
      </w:r>
      <w:r w:rsidRPr="00712ED2">
        <w:rPr>
          <w:rFonts w:ascii="Times New Roman" w:hAnsi="Times New Roman"/>
          <w:noProof/>
          <w:sz w:val="22"/>
        </w:rPr>
        <w:t>. Jakarta: Ghalia Indonesia, 1986.</w:t>
      </w:r>
    </w:p>
    <w:p w14:paraId="629ED953" w14:textId="6163FB3B" w:rsidR="00376218" w:rsidRPr="00BB211C" w:rsidRDefault="00376218" w:rsidP="00376218">
      <w:pPr>
        <w:spacing w:before="0" w:beforeAutospacing="0" w:after="0" w:afterAutospacing="0" w:line="240" w:lineRule="auto"/>
        <w:rPr>
          <w:rFonts w:asciiTheme="majorBidi" w:hAnsiTheme="majorBidi" w:cstheme="majorBidi"/>
          <w:b/>
          <w:sz w:val="22"/>
          <w:szCs w:val="22"/>
          <w:lang w:val="en-US"/>
        </w:rPr>
      </w:pPr>
      <w:r w:rsidRPr="00BB211C">
        <w:rPr>
          <w:rFonts w:asciiTheme="majorBidi" w:hAnsiTheme="majorBidi" w:cstheme="majorBidi"/>
          <w:b/>
          <w:sz w:val="22"/>
          <w:szCs w:val="22"/>
          <w:lang w:val="en-US"/>
        </w:rPr>
        <w:fldChar w:fldCharType="end"/>
      </w:r>
    </w:p>
    <w:sectPr w:rsidR="00376218" w:rsidRPr="00BB211C" w:rsidSect="007B1B5F">
      <w:pgSz w:w="11906" w:h="16838"/>
      <w:pgMar w:top="1701"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0A0B2" w14:textId="77777777" w:rsidR="00D9578C" w:rsidRDefault="00D9578C" w:rsidP="00F071A1">
      <w:pPr>
        <w:spacing w:before="0" w:after="0" w:line="240" w:lineRule="auto"/>
      </w:pPr>
      <w:r>
        <w:separator/>
      </w:r>
    </w:p>
  </w:endnote>
  <w:endnote w:type="continuationSeparator" w:id="0">
    <w:p w14:paraId="5113E878" w14:textId="77777777" w:rsidR="00D9578C" w:rsidRDefault="00D9578C" w:rsidP="00F071A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Rockwell-Italic">
    <w:altName w:val="Times New Roman"/>
    <w:charset w:val="00"/>
    <w:family w:val="auto"/>
    <w:pitch w:val="default"/>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56E4B" w14:textId="77777777" w:rsidR="00D9578C" w:rsidRDefault="00D9578C" w:rsidP="00F071A1">
      <w:pPr>
        <w:spacing w:before="0" w:after="0" w:line="240" w:lineRule="auto"/>
      </w:pPr>
      <w:r>
        <w:separator/>
      </w:r>
    </w:p>
  </w:footnote>
  <w:footnote w:type="continuationSeparator" w:id="0">
    <w:p w14:paraId="6FB3FC18" w14:textId="77777777" w:rsidR="00D9578C" w:rsidRDefault="00D9578C" w:rsidP="00F071A1">
      <w:pPr>
        <w:spacing w:before="0" w:after="0" w:line="240" w:lineRule="auto"/>
      </w:pPr>
      <w:r>
        <w:continuationSeparator/>
      </w:r>
    </w:p>
  </w:footnote>
  <w:footnote w:id="1">
    <w:p w14:paraId="2B105A8C" w14:textId="155219D3"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{"citationItems":[{"id":"ITEM-1","itemData":{"abstract":"Hukuman cambuk terhadap non muslim pelaku jarimah yang berada di wilayah Nangro Aceh Darussalam. Sebuah ketentuan yang berlaku dalam wilayah yang mendapat keistimewaan untuk memberlakukan Syariat Islam, Qanun Jarimah akan mengikat bagi yang berdomisili di daerah istimewah Aceh Darussalam baik muslim sendiri maupun bagi non muslim. Qanun Aceh tahun 2014 yang mengatur tentang pelaksanaanya. Ada sepuluh jenis-jenis Jarimah yang diberlakukan di daerah istimewah aceh darussalam yang masuk dalam Qanun Hukum Jinayat dan kitab Undang- undang Hukum Pidana. Pemberlakuan Qanun Jinayah meskipun terhadap non muslim tentunya hal ini sesuai dengan kemashlahatan bersama dan untuk menciptakan ketentraman masyarakatanya, sehingga tujuan dalam penerapan qanun jinayat dapat akan terlaksana dengan bai dan sempurna.","author":[{"dropping-particle":"","family":"Suparmin","given":"Sudirman","non-dropping-particle":"","parse-names":false,"suffix":""}],"container-title":"Analytical Islamica","id":"ITEM-1","issue":"2","issued":{"date-parts":[["2017"]]},"page":"146-155","title":"Hukuman Cambuk Terhadap Non Muslim Pelaku Jarimah Di Nanggroe Aceh Darussalam (Studi Putusan No.01/JN/2016/MS.TKN)","type":"article-journal","volume":"6"},"uris":["http://www.mendeley.com/documents/?uuid=6dc8a7f2-ca4c-4182-804c-5e9f2c23a536"]},{"id":"ITEM-2","itemData":{"author":[{"dropping-particle":"","family":"Bahri","given":"Syamsul","non-dropping-particle":"","parse-names":false,"suffix":""}],"id":"ITEM-2","issue":"April","issued":{"date-parts":[["2018"]]},"page":"866-878","title":"INKONSISTENSI HUKUM Penerapan Hukuman Cambuk terhadap Non-Muslim di Aceh","type":"article-journal"},"uris":["http://www.mendeley.com/documents/?uuid=9d3cef6f-df85-4b3a-9ec7-945ec861de7b"]},{"id":"ITEM-3","itemData":{"author":[{"dropping-particle":"","family":"Miranda","given":"Erick","non-dropping-particle":"","parse-names":false,"suffix":""},{"dropping-particle":"","family":"Din","given":"Mohd","non-dropping-particle":"","parse-names":false,"suffix":""}],"id":"ITEM-3","issue":"3","issued":{"date-parts":[["2018"]]},"page":"606-616","title":"KAJIAN NORMATIF ATAS PEMBERLAKUAN HUKUMAN CAMBUK DALAM QANUN NOMOR 6 TAHUN 2014 TENTANG HUKUM JINAYAT TERHADAP NON MUSLIM","type":"article-journal","volume":"2"},"uris":["http://www.mendeley.com/documents/?uuid=119db5ed-ffee-4209-b5ae-e0c22f1837fd"]},{"id":"ITEM-4","itemData":{"author":[{"dropping-particle":"","family":"Syarif","given":"Nurrohman","non-dropping-particle":"","parse-names":false,"suffix":""}],"container-title":"Jurnal Dinamika Hukum","id":"ITEM-4","issue":"2","issued":{"date-parts":[["2019"]]},"page":"423-448","title":"Transformation and Reformation of Islamic Criminal Law; The Study on Aceh Qanun Jinayat and Its Impact To Woman and Non-Muslim","type":"article-journal","volume":"19"},"uris":["http://www.mendeley.com/documents/?uuid=c5c69081-0e1e-4200-bd22-37ce2c2c294d"]},{"id":"ITEM-5","itemData":{"DOI":"10.1007/s12142-021-00645-x","ISBN":"1214202100645","ISSN":"18746306","abstract":"The Aceh Jinayat Qanun, which is often considered violating Human Rights, has become the choice of the non-Muslim minorities as their rational choice. This study aims to analyze non-Muslims’ choice of The Aceh Jinayat Qanun implemented by the Sharia Court in Aceh and its underlying motives. This study relies on field research involving observations, in-depth interviews with Sharia Court judges, Head of the Islamic Sharia Service, Acehnese clerical figures, and Non-Muslims involved in criminal cases handled by the Sharia Courts. This study also analyzes Sharia Court decisions on criminal cases involving non-Muslims and various related documents issued by the Sharia Courts, police, and prosecutors. The study was undertaken between July 2017 and March 2020. The study shows that the Acehnese non-Muslims do not select The Aceh Jinayat Qanun because of its religious values but based on practicality, efficiency, and socio-cultural consideration. The Sharia-based sentences, which have often been conceived as inhuman and violate fundamental human rights, are chosen and become the rational choice for non-Muslims in solving their legal issues. This paper concludes that the implementation of the Sharia on non-Muslim has not always been negative. This paper demonstrates non-Muslims’ interest to choose Sharia-based criminal justice or The Aceh Jinayat Qanun over the Criminal Code. This can be seen as their rational choice over a more efficient, low-cost, effective, and fast legal process offered by The Aceh Jinayat Qanun sentencing system.","author":[{"dropping-particle":"","family":"Halim","given":"Abdul","non-dropping-particle":"","parse-names":false,"suffix":""}],"container-title":"Human Rights Review","id":"ITEM-5","issue":"0123456789","issued":{"date-parts":[["2022"]]},"publisher":"Springer Netherlands","title":"Non-Muslims in the Qanun Jinayat and the Choice of Law in Sharia Courts in Aceh","type":"article-journal"},"uris":["http://www.mendeley.com/documents/?uuid=aa89b270-c83f-4bdc-9b72-36dacf1ab600"]},{"id":"ITEM-6","itemData":{"ISSN":"22656294","abstract":"The legalization of Islamic Sharia in 2001 is often seen as the starting point for intolerance practices in Aceh. The rights of non-Muslims as citizens of minority countries are always ignored. Purpose: This study aims to study the rights of the public services of Non-Muslims in Aceh after the enactment of Islamic sharia. The research method used is qualitative. Interviewed in-depth several related parties, such as non-Muslim religious leaders, public service personnel, and Acehnese indigenous leaders. This study shows different results from previous research that only looked at public services to Non-Muslims through technology media sourced on secondary data. Generally, the service to the public rights of non-Muslims does not experience problems, especially when viewed from three aspects: first, freedom in converting to religion; second, freedom in performing religious rituals; third, treatment before the law and access to health care and education. This research provides an insight into the multicultural life of Acehnese people comprehensively influenced by historical perspectives of the past. Acehnese have maintained their multicultural commitment since long ago until now as social capital in maintaining the harmony of diversity. In this way will be described in full the dynamics of multiculturalism in the life of religious people in Aceh.","author":[{"dropping-particle":"","family":"Muthalib","given":"Salman Abdul","non-dropping-particle":"","parse-names":false,"suffix":""},{"dropping-particle":"","family":"Masrizal","given":"","non-dropping-particle":"","parse-names":false,"suffix":""},{"dropping-particle":"","family":"Abdullah","given":"Irwan","non-dropping-particle":"","parse-names":false,"suffix":""},{"dropping-particle":"","family":"Yusuf","given":"M.","non-dropping-particle":"","parse-names":false,"suffix":""},{"dropping-particle":"","family":"Melayu","given":"Hasnul Arifin","non-dropping-particle":"","parse-names":false,"suffix":""}],"container-title":"Res Militaris","id":"ITEM-6","issue":"2","issued":{"date-parts":[["2022"]]},"page":"85-101","title":"Public Services for Non-Muslims in Aceh: Non-Muslim Rights in The Application of Islamic Sharia Law","type":"article-journal","volume":"12"},"uris":["http://www.mendeley.com/documents/?uuid=ed17d8c4-aed1-4d60-a991-59d3113da53b"]},{"id":"ITEM-7","itemData":{"author":[{"dropping-particle":"","family":"Abubakar","given":"Ali","non-dropping-particle":"","parse-names":false,"suffix":""}],"edition":"I","editor":[{"dropping-particle":"","family":"Maulana","given":"Muhammad","non-dropping-particle":"","parse-names":false,"suffix":""}],"id":"ITEM-7","issued":{"date-parts":[["2020"]]},"publisher":"Dinas Syariat Islam Aceh","publisher-place":"Banda Aceh","title":"Kedudukan Non-Muslim dalam Qanun Jinayat","type":"book"},"uris":["http://www.mendeley.com/documents/?uuid=98cddb53-4d18-40d5-b8eb-466457aeb4de"]},{"id":"ITEM-8","itemData":{"author":[{"dropping-particle":"","family":"Melayu","given":"Hasnul Arifin","non-dropping-particle":"","parse-names":false,"suffix":""},{"dropping-particle":"bin","family":"Abubakar","given":"Md Zawawi","non-dropping-particle":"","parse-names":false,"suffix":""},{"dropping-particle":"","family":"Nasir","given":"Norruzeyati binti Che Mohd","non-dropping-particle":"","parse-names":false,"suffix":""}],"container-title":"Legitimasi, Jurnal Hukum Pidana dan Politik Hukum","id":"ITEM-8","issue":"2","issued":{"date-parts":[["2021"]]},"title":"Minorities in the Shari`a Territory: the Position of Non-Muslim in Aceh's Jinayat Law","type":"article-journal","volume":"10"},"uris":["http://www.mendeley.com/documents/?uuid=b04d538e-94c6-4705-8235-ccb6616dbefd"]},{"id":"ITEM-9","itemData":{"author":[{"dropping-particle":"","family":"Hidayatulah","given":"Ridha","non-dropping-particle":"","parse-names":false,"suffix":""},{"dropping-particle":"","family":"Sarong","given":"A Hamid","non-dropping-particle":"","parse-names":false,"suffix":""},{"dropping-particle":"","family":"Ali","given":"Dahlan","non-dropping-particle":"","parse-names":false,"suffix":""}],"container-title":"Syiah","id":"ITEM-9","issue":"3","issued":{"date-parts":[["2017"]]},"title":"EFEKTIVITAS PENERAPAN HUKUMAN TERHADAP PELAKU TINDAK PIDANA MAISIR DALAM QANUN NOMOR 6 TAHUN 2014","type":"article-journal","volume":"1"},"uris":["http://www.mendeley.com/documents/?uuid=d039f17c-5319-4876-b3c6-517bda0beaab"]}],"mendeley":{"formattedCitation":"Sudirman Suparmin, “Hukuman Cambuk Terhadap Non Muslim Pelaku Jarimah Di Nanggroe Aceh Darussalam (Studi Putusan No.01/JN/2016/MS.TKN),” &lt;i&gt;Analytical Islamica&lt;/i&gt; 6, no. 2 (2017): 146–55, http://jurnal.uinsu.ac.id/index.php/analytica/article/download/1279/1042; Syamsul Bahri, “INKONSISTENSI HUKUM Penerapan Hukuman Cambuk Terhadap Non-Muslim Di Aceh,” no. April (2018): 866–78, http://download.garuda.ristekdikti.go.id/article.php?article=1293019&amp;val=17308&amp;title=Inkonsistensi Hukum; Erick Miranda and Mohd Din, “KAJIAN NORMATIF ATAS PEMBERLAKUAN HUKUMAN CAMBUK DALAM QANUN NOMOR 6 TAHUN 2014 TENTANG HUKUM JINAYAT TERHADAP NON MUSLIM” 2, no. 3 (2018): 606–16, http://jim.unsyiah.ac.id/pidana/article/download/14423/6086; Nurrohman Syarif, “Transformation and Reformation of Islamic Criminal Law; The Study on Aceh Qanun Jinayat and Its Impact To Woman and Non-Muslim,” &lt;i&gt;Jurnal Dinamika Hukum&lt;/i&gt; 19, no. 2 (2019): 423–48; Abdul Halim, “Non-Muslims in the Qanun Jinayat and the Choice of Law in Sharia Courts in Aceh,” &lt;i&gt;Human Rights Review&lt;/i&gt;, no. 0123456789 (2022), https://doi.org/10.1007/s12142-021-00645-x; Salman Abdul Muthalib et al., “Public Services for Non-Muslims in Aceh: Non-Muslim Rights in The Application of Islamic Sharia Law,” &lt;i&gt;Res Militaris&lt;/i&gt; 12, no. 2 (2022): 85–101; Ali Abubakar, &lt;i&gt;Kedudukan Non-Muslim Dalam Qanun Jinayat&lt;/i&gt;, ed. Muhammad Maulana, I (Banda Aceh: Dinas Syariat Islam Aceh, 2020); Hasnul Arifin Melayu, Md Zawawi bin Abubakar, and Norruzeyati binti Che Mohd Nasir, “Minorities in the Shari`a Territory: The Position of Non-Muslim in Aceh’s Jinayat Law,” &lt;i&gt;Legitimasi, Jurnal Hukum Pidana Dan Politik Hukum&lt;/i&gt; 10, no. 2 (2021), https://jurnal.ar-raniry.ac.id/index.php/legitimasi/article/view/10521; Ridha Hidayatulah, A Hamid Sarong, and Dahlan Ali, “EFEKTIVITAS PENERAPAN HUKUMAN TERHADAP PELAKU TINDAK PIDANA MAISIR DALAM QANUN NOMOR 6 TAHUN 2014,” &lt;i&gt;Syiah&lt;/i&gt; 1, no. 3 (2017), http://jurnal.unsyiah.ac.id/SKLJ/article/view/9641.","plainTextFormattedCitation":"Sudirman Suparmin, “Hukuman Cambuk Terhadap Non Muslim Pelaku Jarimah Di Nanggroe Aceh Darussalam (Studi Putusan No.01/JN/2016/MS.TKN),” Analytical Islamica 6, no. 2 (2017): 146–55, http://jurnal.uinsu.ac.id/index.php/analytica/article/download/1279/1042; Syamsul Bahri, “INKONSISTENSI HUKUM Penerapan Hukuman Cambuk Terhadap Non-Muslim Di Aceh,” no. April (2018): 866–78, http://download.garuda.ristekdikti.go.id/article.php?article=1293019&amp;val=17308&amp;title=Inkonsistensi Hukum; Erick Miranda and Mohd Din, “KAJIAN NORMATIF ATAS PEMBERLAKUAN HUKUMAN CAMBUK DALAM QANUN NOMOR 6 TAHUN 2014 TENTANG HUKUM JINAYAT TERHADAP NON MUSLIM” 2, no. 3 (2018): 606–16, http://jim.unsyiah.ac.id/pidana/article/download/14423/6086; Nurrohman Syarif, “Transformation and Reformation of Islamic Criminal Law; The Study on Aceh Qanun Jinayat and Its Impact To Woman and Non-Muslim,” Jurnal Dinamika Hukum 19, no. 2 (2019): 423–48; Abdul Halim, “Non-Muslims in the Qanun Jinayat and the Choice of Law in Sharia Courts in Aceh,” Human Rights Review, no. 0123456789 (2022), https://doi.org/10.1007/s12142-021-00645-x; Salman Abdul Muthalib et al., “Public Services for Non-Muslims in Aceh: Non-Muslim Rights in The Application of Islamic Sharia Law,” Res Militaris 12, no. 2 (2022): 85–101; Ali Abubakar, Kedudukan Non-Muslim Dalam Qanun Jinayat, ed. Muhammad Maulana, I (Banda Aceh: Dinas Syariat Islam Aceh, 2020); Hasnul Arifin Melayu, Md Zawawi bin Abubakar, and Norruzeyati binti Che Mohd Nasir, “Minorities in the Shari`a Territory: The Position of Non-Muslim in Aceh’s Jinayat Law,” Legitimasi, Jurnal Hukum Pidana Dan Politik Hukum 10, no. 2 (2021), https://jurnal.ar-raniry.ac.id/index.php/legitimasi/article/view/10521; Ridha Hidayatulah, A Hamid Sarong, and Dahlan Ali, “EFEKTIVITAS PENERAPAN HUKUMAN TERHADAP PELAKU TINDAK PIDANA MAISIR DALAM QANUN NOMOR 6 TAHUN 2014,” Syiah 1, no. 3 (2017), http://jurnal.unsyiah.ac.id/SKLJ/article/view/9641.","previouslyFormattedCitation":"(Suparmin 2017; Bahri 2018; Miranda and Din 2018; Syarif 2019; Halim 2022; Muthalib et al. 2022; Abubakar 2020; Melayu, Abubakar, and Nasir 2021; Hidayatulah, Sarong, and Ali 2017)"},"properties":{"noteIndex":1},"schema":"https://github.com/citation-style-language/schema/raw/master/csl-citation.json"}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Sudirman Suparmin, “Hukuman Cambuk Terhadap Non Muslim Pelaku Jarimah Di Nanggroe Aceh Darussalam (Studi Putusan No.01/JN/2016/MS.TKN),” </w:t>
      </w:r>
      <w:r w:rsidRPr="00712ED2">
        <w:rPr>
          <w:rFonts w:asciiTheme="majorBidi" w:hAnsiTheme="majorBidi" w:cstheme="majorBidi"/>
          <w:i/>
          <w:noProof/>
          <w:sz w:val="20"/>
          <w:szCs w:val="20"/>
        </w:rPr>
        <w:t>Analytical Islamica</w:t>
      </w:r>
      <w:r w:rsidRPr="00712ED2">
        <w:rPr>
          <w:rFonts w:asciiTheme="majorBidi" w:hAnsiTheme="majorBidi" w:cstheme="majorBidi"/>
          <w:noProof/>
          <w:sz w:val="20"/>
          <w:szCs w:val="20"/>
        </w:rPr>
        <w:t xml:space="preserve"> 6, no. 2 (2017): 146–55, http://jurnal.uinsu.ac.id/index.php/analytica/article/download/1279/1042; Syamsul Bahri, “INKONSISTENSI HUKUM Penerapan Hukuman Cambuk Terhadap Non-Muslim Di Aceh,” no. April (2018): 866–78, http://download.garuda.ristekdikti.go.id/article.php?article=1293019&amp;val=17308&amp;title=Inkonsistensi Hukum; Erick Miranda and Mohd Din, “KAJIAN NORMATIF ATAS PEMBERLAKUAN HUKUMAN CAMBUK DALAM QANUN NOMOR 6 TAHUN 2014 TENTANG HUKUM JINAYAT TERHADAP NON MUSLIM” 2, no. 3 (2018): 606–16, http://jim.unsyiah.ac.id/pidana/article/download/14423/6086; Nurrohman Syarif, “Transformation and Reformation of Islamic Criminal Law; The Study on Aceh Qanun Jinayat and Its Impact To Woman and Non-Muslim,” </w:t>
      </w:r>
      <w:r w:rsidRPr="00712ED2">
        <w:rPr>
          <w:rFonts w:asciiTheme="majorBidi" w:hAnsiTheme="majorBidi" w:cstheme="majorBidi"/>
          <w:i/>
          <w:noProof/>
          <w:sz w:val="20"/>
          <w:szCs w:val="20"/>
        </w:rPr>
        <w:t>Jurnal Dinamika Hukum</w:t>
      </w:r>
      <w:r w:rsidRPr="00712ED2">
        <w:rPr>
          <w:rFonts w:asciiTheme="majorBidi" w:hAnsiTheme="majorBidi" w:cstheme="majorBidi"/>
          <w:noProof/>
          <w:sz w:val="20"/>
          <w:szCs w:val="20"/>
        </w:rPr>
        <w:t xml:space="preserve"> 19, no. 2 (2019): 423–48; Abdul Halim, “Non-Muslims in the Qanun Jinayat and the Choice of Law in Sharia Courts in Aceh,” </w:t>
      </w:r>
      <w:r w:rsidRPr="00712ED2">
        <w:rPr>
          <w:rFonts w:asciiTheme="majorBidi" w:hAnsiTheme="majorBidi" w:cstheme="majorBidi"/>
          <w:i/>
          <w:noProof/>
          <w:sz w:val="20"/>
          <w:szCs w:val="20"/>
        </w:rPr>
        <w:t>Human Rights Review</w:t>
      </w:r>
      <w:r w:rsidRPr="00712ED2">
        <w:rPr>
          <w:rFonts w:asciiTheme="majorBidi" w:hAnsiTheme="majorBidi" w:cstheme="majorBidi"/>
          <w:noProof/>
          <w:sz w:val="20"/>
          <w:szCs w:val="20"/>
        </w:rPr>
        <w:t xml:space="preserve">, no. 0123456789 (2022), https://doi.org/10.1007/s12142-021-00645-x; Salman Abdul Muthalib et al., “Public Services for Non-Muslims in Aceh: Non-Muslim Rights in The Application of Islamic Sharia Law,” </w:t>
      </w:r>
      <w:r w:rsidRPr="00712ED2">
        <w:rPr>
          <w:rFonts w:asciiTheme="majorBidi" w:hAnsiTheme="majorBidi" w:cstheme="majorBidi"/>
          <w:i/>
          <w:noProof/>
          <w:sz w:val="20"/>
          <w:szCs w:val="20"/>
        </w:rPr>
        <w:t>Res Militaris</w:t>
      </w:r>
      <w:r w:rsidRPr="00712ED2">
        <w:rPr>
          <w:rFonts w:asciiTheme="majorBidi" w:hAnsiTheme="majorBidi" w:cstheme="majorBidi"/>
          <w:noProof/>
          <w:sz w:val="20"/>
          <w:szCs w:val="20"/>
        </w:rPr>
        <w:t xml:space="preserve"> 12, no. 2 (2022): 85–101; Ali Abubakar, </w:t>
      </w:r>
      <w:r w:rsidRPr="00712ED2">
        <w:rPr>
          <w:rFonts w:asciiTheme="majorBidi" w:hAnsiTheme="majorBidi" w:cstheme="majorBidi"/>
          <w:i/>
          <w:noProof/>
          <w:sz w:val="20"/>
          <w:szCs w:val="20"/>
        </w:rPr>
        <w:t>Kedudukan Non-Muslim Dalam Qanun Jinayat</w:t>
      </w:r>
      <w:r w:rsidRPr="00712ED2">
        <w:rPr>
          <w:rFonts w:asciiTheme="majorBidi" w:hAnsiTheme="majorBidi" w:cstheme="majorBidi"/>
          <w:noProof/>
          <w:sz w:val="20"/>
          <w:szCs w:val="20"/>
        </w:rPr>
        <w:t xml:space="preserve">, ed. Muhammad Maulana, I (Banda Aceh: Dinas Syariat Islam Aceh, 2020); Hasnul Arifin Melayu, Md Zawawi bin Abubakar, and Norruzeyati binti Che Mohd Nasir, “Minorities in the Shari`a Territory: The Position of Non-Muslim in Aceh’s Jinayat Law,” </w:t>
      </w:r>
      <w:r w:rsidRPr="00712ED2">
        <w:rPr>
          <w:rFonts w:asciiTheme="majorBidi" w:hAnsiTheme="majorBidi" w:cstheme="majorBidi"/>
          <w:i/>
          <w:noProof/>
          <w:sz w:val="20"/>
          <w:szCs w:val="20"/>
        </w:rPr>
        <w:t>Legitimasi, Jurnal Hukum Pidana Dan Politik Hukum</w:t>
      </w:r>
      <w:r w:rsidRPr="00712ED2">
        <w:rPr>
          <w:rFonts w:asciiTheme="majorBidi" w:hAnsiTheme="majorBidi" w:cstheme="majorBidi"/>
          <w:noProof/>
          <w:sz w:val="20"/>
          <w:szCs w:val="20"/>
        </w:rPr>
        <w:t xml:space="preserve"> 10, no. 2 (2021), https://jurnal.ar-raniry.ac.id/index.php/legitimasi/article/view/10521; Ridha Hidayatulah, A Hamid Sarong, and Dahlan Ali, “EFEKTIVITAS PENERAPAN HUKUMAN TERHADAP PELAKU TINDAK PIDANA MAISIR DALAM QANUN NOMOR 6 TAHUN 2014,” </w:t>
      </w:r>
      <w:r w:rsidRPr="00712ED2">
        <w:rPr>
          <w:rFonts w:asciiTheme="majorBidi" w:hAnsiTheme="majorBidi" w:cstheme="majorBidi"/>
          <w:i/>
          <w:noProof/>
          <w:sz w:val="20"/>
          <w:szCs w:val="20"/>
        </w:rPr>
        <w:t>Syiah</w:t>
      </w:r>
      <w:r w:rsidRPr="00712ED2">
        <w:rPr>
          <w:rFonts w:asciiTheme="majorBidi" w:hAnsiTheme="majorBidi" w:cstheme="majorBidi"/>
          <w:noProof/>
          <w:sz w:val="20"/>
          <w:szCs w:val="20"/>
        </w:rPr>
        <w:t xml:space="preserve"> 1, no. 3 (2017), http://jurnal.unsyiah.ac.id/SKLJ/article/view/9641.</w:t>
      </w:r>
      <w:r w:rsidRPr="00712ED2">
        <w:rPr>
          <w:rFonts w:asciiTheme="majorBidi" w:hAnsiTheme="majorBidi" w:cstheme="majorBidi"/>
          <w:sz w:val="20"/>
          <w:szCs w:val="20"/>
        </w:rPr>
        <w:fldChar w:fldCharType="end"/>
      </w:r>
    </w:p>
  </w:footnote>
  <w:footnote w:id="2">
    <w:p w14:paraId="22DE3839" w14:textId="7DF24861"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{"citationItems":[{"id":"ITEM-1","itemData":{"abstract":"Penegakan hukum terhadap nonmuslim yang melakukan pelanggaran hukum jinayat cenderung menggunakan hukuman yang diatur dalam Qanun Hukum Jinayat bila dibandingkan dengan ketentuan peraturan perundang-undangan pidana lainnya. Fenomena ini menarik untuk dikaji karena nonmuslim yang melakukan tindak pidana (jarimah) diberikan pilihan untuk menggunakan qanun atau UU Pidana lainnya yang diatur di luar qanun. Kajian ini bertujuan untuk menganalisis bagaimana penegakan hukum jinayat terhadap jarimah yang dilakukan oleh nonmuslim, mengapa nonmuslim lebih cenderung memilih hukum jinayat dibandingkan ketentuan peraturan perundang-undangan pidana lainnya di luar qanun, dan hukuman mana yang lebih dominan dijatuhkan oleh hakim Mahkamah Syar’iyah. Penulis menggunakan metode penelitian yuridis empiris, dengan tujuan mendeskripsikan fakta secara konkrit mengenai penegakan hukum jinayat bagi nonmuslim. Bahan hukum primer yang digunakan yaitu Qanun Hukum Jinayat dan Qanun Hukum Acara Jinayat, sedangkan bahan hukum sekundernya adalah buku, jurnal dan hasil penelitian. Data primer diperoleh melalui wawancara dengan nonmuslim yang pernah dijatuhi hukuman sesuai qanun, hakim, Wilayatuh Hisbah (WH), dan Jaksa Penuntut Umum (JPU). Hasil penelitian menunjukkan bahwa penegakan hukum jinayat bagi nonmuslim harus terlebih dahulu meminta persetujuan dari tersangka untuk menggunakan qanun atau hukum pidana di luar qanun. Kemudian penyidik melakukan penindakan sesuai dengan pilihan yang ditetapkan oleh tersangka. Nonmuslim cenderung memilih qanun dikarenakan beberapa faktor. Pertama, hukumannya lebih instan bila dibandingkan dengan KUHP yang ancamannya adalah penjara. Kedua, masyarakat yang menyaksikan eksekusi cambuk tidak seluruhnya merupakan warga yang kenal dengannya. Hukuman yang lebih dominan dijatuhkan oleh hakim adalah ta’zir cambuk dan tindakan berupa pencabutan izin usahanya.","author":[{"dropping-particle":"","family":"Mahmuddin","given":"","non-dropping-particle":"","parse-names":false,"suffix":""},{"dropping-particle":"","family":"Mansari","given":"","non-dropping-particle":"","parse-names":false,"suffix":""},{"dropping-particle":"","family":"Khairuddin","given":"","non-dropping-particle":"","parse-names":false,"suffix":""},{"dropping-particle":"","family":"Aslami","given":"Ahmad Fikri","non-dropping-particle":"","parse-names":false,"suffix":""},{"dropping-particle":"","family":"Irawan","given":"Mul","non-dropping-particle":"","parse-names":false,"suffix":""}],"container-title":"JHP Jurnal Hukum dan Peradilan","id":"ITEM-1","issued":{"date-parts":[["2022"]]},"page":"21-42","title":"Enforcement of Jinayat Law for Non-Muslims in Aceh","type":"article-journal","volume":"11"},"uris":["http://www.mendeley.com/documents/?uuid=3926cf1b-136d-4cf8-a0ac-9b384662a933"]}],"mendeley":{"formattedCitation":"Mahmuddin et al., “Enforcement of Jinayat Law for Non-Muslims in Aceh,” &lt;i&gt;JHP Jurnal Hukum Dan Peradilan&lt;/i&gt; 11 (2022): 21–42.","plainTextFormattedCitation":"Mahmuddin et al., “Enforcement of Jinayat Law for Non-Muslims in Aceh,” JHP Jurnal Hukum Dan Peradilan 11 (2022): 21–42.","previouslyFormattedCitation":"(Mahmuddin et al. 2022)"},"properties":{"noteIndex":2},"schema":"https://github.com/citation-style-language/schema/raw/master/csl-citation.json"}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Mahmuddin et al., “Enforcement of Jinayat Law for Non-Muslims in Aceh,” </w:t>
      </w:r>
      <w:r w:rsidRPr="00712ED2">
        <w:rPr>
          <w:rFonts w:asciiTheme="majorBidi" w:hAnsiTheme="majorBidi" w:cstheme="majorBidi"/>
          <w:i/>
          <w:noProof/>
          <w:sz w:val="20"/>
          <w:szCs w:val="20"/>
        </w:rPr>
        <w:t>JHP Jurnal Hukum Dan Peradilan</w:t>
      </w:r>
      <w:r w:rsidRPr="00712ED2">
        <w:rPr>
          <w:rFonts w:asciiTheme="majorBidi" w:hAnsiTheme="majorBidi" w:cstheme="majorBidi"/>
          <w:noProof/>
          <w:sz w:val="20"/>
          <w:szCs w:val="20"/>
        </w:rPr>
        <w:t xml:space="preserve"> 11 (2022): 21–42.</w:t>
      </w:r>
      <w:r w:rsidRPr="00712ED2">
        <w:rPr>
          <w:rFonts w:asciiTheme="majorBidi" w:hAnsiTheme="majorBidi" w:cstheme="majorBidi"/>
          <w:sz w:val="20"/>
          <w:szCs w:val="20"/>
        </w:rPr>
        <w:fldChar w:fldCharType="end"/>
      </w:r>
    </w:p>
  </w:footnote>
  <w:footnote w:id="3">
    <w:p w14:paraId="0CE0CBBA" w14:textId="513338E6"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{"citationItems":[{"id":"ITEM-1","itemData":{"DOI":"10.1007/s12142-021-00645-x","ISBN":"1214202100645","ISSN":"18746306","abstract":"The Aceh Jinayat Qanun, which is often considered violating Human Rights, has become the choice of the non-Muslim minorities as their rational choice. This study aims to analyze non-Muslims’ choice of The Aceh Jinayat Qanun implemented by the Sharia Court in Aceh and its underlying motives. This study relies on field research involving observations, in-depth interviews with Sharia Court judges, Head of the Islamic Sharia Service, Acehnese clerical figures, and Non-Muslims involved in criminal cases handled by the Sharia Courts. This study also analyzes Sharia Court decisions on criminal cases involving non-Muslims and various related documents issued by the Sharia Courts, police, and prosecutors. The study was undertaken between July 2017 and March 2020. The study shows that the Acehnese non-Muslims do not select The Aceh Jinayat Qanun because of its religious values but based on practicality, efficiency, and socio-cultural consideration. The Sharia-based sentences, which have often been conceived as inhuman and violate fundamental human rights, are chosen and become the rational choice for non-Muslims in solving their legal issues. This paper concludes that the implementation of the Sharia on non-Muslim has not always been negative. This paper demonstrates non-Muslims’ interest to choose Sharia-based criminal justice or The Aceh Jinayat Qanun over the Criminal Code. This can be seen as their rational choice over a more efficient, low-cost, effective, and fast legal process offered by The Aceh Jinayat Qanun sentencing system.","author":[{"dropping-particle":"","family":"Halim","given":"Abdul","non-dropping-particle":"","parse-names":false,"suffix":""}],"container-title":"Human Rights Review","id":"ITEM-1","issue":"0123456789","issued":{"date-parts":[["2022"]]},"publisher":"Springer Netherlands","title":"Non-Muslims in the Qanun Jinayat and the Choice of Law in Sharia Courts in Aceh","type":"article-journal"},"uris":["http://www.mendeley.com/documents/?uuid=aa89b270-c83f-4bdc-9b72-36dacf1ab600"]}],"mendeley":{"formattedCitation":"Halim, “Non-Muslims in the Qanun Jinayat and the Choice of Law in Sharia Courts in Aceh.”","plainTextFormattedCitation":"Halim, “Non-Muslims in the Qanun Jinayat and the Choice of Law in Sharia Courts in Aceh.”","previouslyFormattedCitation":"(Halim 2022)"},"properties":{"noteIndex":3},"schema":"https://github.com/citation-style-language/schema/raw/master/csl-citation.json"}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Halim, “Non-Muslims in the Qanun Jinayat and the Choice of Law in Sharia Courts in Aceh.”</w:t>
      </w:r>
      <w:r w:rsidRPr="00712ED2">
        <w:rPr>
          <w:rFonts w:asciiTheme="majorBidi" w:hAnsiTheme="majorBidi" w:cstheme="majorBidi"/>
          <w:sz w:val="20"/>
          <w:szCs w:val="20"/>
        </w:rPr>
        <w:fldChar w:fldCharType="end"/>
      </w:r>
    </w:p>
  </w:footnote>
  <w:footnote w:id="4">
    <w:p w14:paraId="7222E56E" w14:textId="68B66E07"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{"citationItems":[{"id":"ITEM-1","itemData":{"author":[{"dropping-particle":"","family":"Suhariyanto","given":"Budi","non-dropping-particle":"","parse-names":false,"suffix":""}],"id":"ITEM-1","issue":"1","issued":{"date-parts":[["2017"]]},"page":"1-20","title":"KEDUDUKAN PERDAMAIAN SEBAGAI PENGHAPUS PEMIDANAAN GUNA MEWUJUDKAN KEADILAN DALAM PEMBARUAN HUKUM PIDANA (Peace Agreement Position in Dismissing Penalty Imposition to Achieve Justice in Criminal Law Reform)","type":"article-journal","volume":"6"},"uris":["http://www.mendeley.com/documents/?uuid=2d1f51c8-1d8b-48ff-b92f-83dba52c8696"]}],"mendeley":{"formattedCitation":"Budi Suhariyanto, “KEDUDUKAN PERDAMAIAN SEBAGAI PENGHAPUS PEMIDANAAN GUNA MEWUJUDKAN KEADILAN DALAM PEMBARUAN HUKUM PIDANA (Peace Agreement Position in Dismissing Penalty Imposition to Achieve Justice in Criminal Law Reform)” 6, no. 1 (2017): 1–20.","plainTextFormattedCitation":"Budi Suhariyanto, “KEDUDUKAN PERDAMAIAN SEBAGAI PENGHAPUS PEMIDANAAN GUNA MEWUJUDKAN KEADILAN DALAM PEMBARUAN HUKUM PIDANA (Peace Agreement Position in Dismissing Penalty Imposition to Achieve Justice in Criminal Law Reform)” 6, no. 1 (2017): 1–20.","previouslyFormattedCitation":"(Suhariyanto 2017)"},"properties":{"noteIndex":4},"schema":"https://github.com/citation-style-language/schema/raw/master/csl-citation.json"}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Budi Suhariyanto, “KEDUDUKAN PERDAMAIAN SEBAGAI PENGHAPUS PEMIDANAAN GUNA MEWUJUDKAN KEADILAN DALAM PEMBARUAN HUKUM PIDANA (Peace Agreement Position in Dismissing Penalty Imposition to Achieve Justice in Criminal Law Reform)” 6, no. 1 (2017): 1–20.</w:t>
      </w:r>
      <w:r w:rsidRPr="00712ED2">
        <w:rPr>
          <w:rFonts w:asciiTheme="majorBidi" w:hAnsiTheme="majorBidi" w:cstheme="majorBidi"/>
          <w:sz w:val="20"/>
          <w:szCs w:val="20"/>
        </w:rPr>
        <w:fldChar w:fldCharType="end"/>
      </w:r>
    </w:p>
  </w:footnote>
  <w:footnote w:id="5">
    <w:p w14:paraId="7F834CE3" w14:textId="6406C396"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{"citationItems":[{"id":"ITEM-1","itemData":{"ISBN":"9786027821590","author":[{"dropping-particle":"","family":"Hiariej","given":"Eddy","non-dropping-particle":"","parse-names":false,"suffix":""}],"id":"ITEM-1","issued":{"date-parts":[["2016"]]},"publisher":"Cahaya Atma Pustaka","publisher-place":"Yogyakarta","title":"Prinsip-prinsip hukum pidana","type":"book"},"uris":["http://www.mendeley.com/documents/?uuid=ab526a33-1fe4-43a1-857e-ebdbe9ecdb62"]}],"mendeley":{"formattedCitation":"Eddy Hiariej, &lt;i&gt;Prinsip-Prinsip Hukum Pidana&lt;/i&gt; (Yogyakarta: Cahaya Atma Pustaka, 2016).","plainTextFormattedCitation":"Eddy Hiariej, Prinsip-Prinsip Hukum Pidana (Yogyakarta: Cahaya Atma Pustaka, 2016).","previouslyFormattedCitation":"(Hiariej 2016)"},"properties":{"noteIndex":5},"schema":"https://github.com/citation-style-language/schema/raw/master/csl-citation.json"}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Eddy Hiariej, </w:t>
      </w:r>
      <w:r w:rsidRPr="00712ED2">
        <w:rPr>
          <w:rFonts w:asciiTheme="majorBidi" w:hAnsiTheme="majorBidi" w:cstheme="majorBidi"/>
          <w:i/>
          <w:noProof/>
          <w:sz w:val="20"/>
          <w:szCs w:val="20"/>
        </w:rPr>
        <w:t>Prinsip-Prinsip Hukum Pidana</w:t>
      </w:r>
      <w:r w:rsidRPr="00712ED2">
        <w:rPr>
          <w:rFonts w:asciiTheme="majorBidi" w:hAnsiTheme="majorBidi" w:cstheme="majorBidi"/>
          <w:noProof/>
          <w:sz w:val="20"/>
          <w:szCs w:val="20"/>
        </w:rPr>
        <w:t xml:space="preserve"> (Yogyakarta: Cahaya Atma Pustaka, 2016).</w:t>
      </w:r>
      <w:r w:rsidRPr="00712ED2">
        <w:rPr>
          <w:rFonts w:asciiTheme="majorBidi" w:hAnsiTheme="majorBidi" w:cstheme="majorBidi"/>
          <w:sz w:val="20"/>
          <w:szCs w:val="20"/>
        </w:rPr>
        <w:fldChar w:fldCharType="end"/>
      </w:r>
    </w:p>
  </w:footnote>
  <w:footnote w:id="6">
    <w:p w14:paraId="7E3AF6BC" w14:textId="121D1541"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Abubakar","given":"Ali","non-dropping-particle":"","parse-names":false,"suffix":""}],"edition":"I","editor":[{"dropping-particle":"","family":"Maulana","given":"Muhammad","non-dropping-particle":"","parse-names":false,"suffix":""}],"id":"ITEM-1","issued":{"date-parts":[["2020"]]},"publisher":"Dinas Syariat Islam Aceh","publisher-place":"Banda Aceh","title":"Kedudukan Non-Muslim dalam Qanun Jinayat","type":"book"},"uris":["http://www.mendeley.com/documents/?uuid=98cddb53-4d18-40d5-b8eb-466457aeb4de"]}],"mendeley":{"formattedCitation":"Abubakar, &lt;i&gt;Kedudukan Non-Muslim Dalam Qanun Jinayat&lt;/i&gt;.","plainTextFormattedCitation":"Abubakar, Kedudukan Non-Muslim Dalam Qanun Jinayat.","previouslyFormattedCitation":"(Abubakar 2020)"},"properties":{"noteIndex":6},"schema":"https://github.com/citation-style-language/schema/raw/master/csl-citation.json"}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Abubakar, </w:t>
      </w:r>
      <w:r w:rsidRPr="00712ED2">
        <w:rPr>
          <w:rFonts w:asciiTheme="majorBidi" w:hAnsiTheme="majorBidi" w:cstheme="majorBidi"/>
          <w:i/>
          <w:noProof/>
          <w:sz w:val="20"/>
          <w:szCs w:val="20"/>
        </w:rPr>
        <w:t>Kedudukan Non-Muslim Dalam Qanun Jinayat</w:t>
      </w:r>
      <w:r w:rsidRPr="00712ED2">
        <w:rPr>
          <w:rFonts w:asciiTheme="majorBidi" w:hAnsiTheme="majorBidi" w:cstheme="majorBidi"/>
          <w:noProof/>
          <w:sz w:val="20"/>
          <w:szCs w:val="20"/>
        </w:rPr>
        <w:t>.</w:t>
      </w:r>
      <w:r w:rsidRPr="00712ED2">
        <w:rPr>
          <w:rFonts w:asciiTheme="majorBidi" w:hAnsiTheme="majorBidi" w:cstheme="majorBidi"/>
          <w:sz w:val="20"/>
          <w:szCs w:val="20"/>
        </w:rPr>
        <w:fldChar w:fldCharType="end"/>
      </w:r>
    </w:p>
  </w:footnote>
  <w:footnote w:id="7">
    <w:p w14:paraId="44C9D9D0" w14:textId="4A6CC105"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{"citationItems":[{"id":"ITEM-1","itemData":{"author":[{"dropping-particle":"","family":"Syaukani","given":"Imam","non-dropping-particle":"","parse-names":false,"suffix":""},{"dropping-particle":"","family":"Thohari","given":"A Ahsin","non-dropping-particle":"","parse-names":false,"suffix":""}],"id":"ITEM-1","issued":{"date-parts":[["2012"]]},"number-of-pages":"19","publisher":"Raja Grafindo Persada","publisher-place":"Jakarta","title":"Dasar-Dasar Polik Hukum","type":"book"},"uris":["http://www.mendeley.com/documents/?uuid=4d1380f4-8893-4f81-af1d-4dbfaf6149a9"]}],"mendeley":{"formattedCitation":"Imam Syaukani and A Ahsin Thohari, &lt;i&gt;Dasar-Dasar Polik Hukum&lt;/i&gt; (Jakarta: Raja Grafindo Persada, 2012).","plainTextFormattedCitation":"Imam Syaukani and A Ahsin Thohari, Dasar-Dasar Polik Hukum (Jakarta: Raja Grafindo Persada, 2012).","previouslyFormattedCitation":"(Syaukani and Thohari 2012)"},"properties":{"noteIndex":7},"schema":"https://github.com/citation-style-language/schema/raw/master/csl-citation.json"}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Imam Syaukani and A Ahsin Thohari, </w:t>
      </w:r>
      <w:r w:rsidRPr="00712ED2">
        <w:rPr>
          <w:rFonts w:asciiTheme="majorBidi" w:hAnsiTheme="majorBidi" w:cstheme="majorBidi"/>
          <w:i/>
          <w:noProof/>
          <w:sz w:val="20"/>
          <w:szCs w:val="20"/>
        </w:rPr>
        <w:t>Dasar-Dasar Polik Hukum</w:t>
      </w:r>
      <w:r w:rsidRPr="00712ED2">
        <w:rPr>
          <w:rFonts w:asciiTheme="majorBidi" w:hAnsiTheme="majorBidi" w:cstheme="majorBidi"/>
          <w:noProof/>
          <w:sz w:val="20"/>
          <w:szCs w:val="20"/>
        </w:rPr>
        <w:t xml:space="preserve"> (Jakarta: Raja Grafindo Persada, 2012).</w:t>
      </w:r>
      <w:r w:rsidRPr="00712ED2">
        <w:rPr>
          <w:rFonts w:asciiTheme="majorBidi" w:hAnsiTheme="majorBidi" w:cstheme="majorBidi"/>
          <w:sz w:val="20"/>
          <w:szCs w:val="20"/>
        </w:rPr>
        <w:fldChar w:fldCharType="end"/>
      </w:r>
    </w:p>
  </w:footnote>
  <w:footnote w:id="8">
    <w:p w14:paraId="4A6A6B19" w14:textId="76D9CA18"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{"citationItems":[{"id":"ITEM-1","itemData":{"author":[{"dropping-particle":"","family":"Mahfud","given":"Moh","non-dropping-particle":"","parse-names":false,"suffix":""}],"id":"ITEM-1","issued":{"date-parts":[["2014"]]},"publisher":"Rajawali Press","publisher-place":"Jakarta","title":"Politik Hukum di Indonesia","type":"book"},"uris":["http://www.mendeley.com/documents/?uuid=fc6ef5a5-37d4-4585-8741-1933e0209dad"]},{"id":"ITEM-2","itemData":{"author":[{"dropping-particle":"","family":"Sudarto","given":"","non-dropping-particle":"","parse-names":false,"suffix":""}],"id":"ITEM-2","issued":{"date-parts":[["1981"]]},"number-of-pages":"159","publisher":"Alumni","publisher-place":"Bandung","title":"Hukum dan Hukum Pidana","type":"book"},"uris":["http://www.mendeley.com/documents/?uuid=db36fdbd-1ce6-4ee9-adae-c012561ecb39"]}],"mendeley":{"formattedCitation":"Moh Mahfud, &lt;i&gt;Politik Hukum Di Indonesia&lt;/i&gt; (Jakarta: Rajawali Press, 2014); Sudarto, &lt;i&gt;Hukum Dan Hukum Pidana&lt;/i&gt; (Bandung: Alumni, 1981).","plainTextFormattedCitation":"Moh Mahfud, Politik Hukum Di Indonesia (Jakarta: Rajawali Press, 2014); Sudarto, Hukum Dan Hukum Pidana (Bandung: Alumni, 1981).","previouslyFormattedCitation":"(Mahfud 2014; Sudarto 1981)"},"properties":{"noteIndex":8},"schema":"https://github.com/citation-style-language/schema/raw/master/csl-citation.json"}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Moh Mahfud, </w:t>
      </w:r>
      <w:r w:rsidRPr="00712ED2">
        <w:rPr>
          <w:rFonts w:asciiTheme="majorBidi" w:hAnsiTheme="majorBidi" w:cstheme="majorBidi"/>
          <w:i/>
          <w:noProof/>
          <w:sz w:val="20"/>
          <w:szCs w:val="20"/>
        </w:rPr>
        <w:t>Politik Hukum Di Indonesia</w:t>
      </w:r>
      <w:r w:rsidRPr="00712ED2">
        <w:rPr>
          <w:rFonts w:asciiTheme="majorBidi" w:hAnsiTheme="majorBidi" w:cstheme="majorBidi"/>
          <w:noProof/>
          <w:sz w:val="20"/>
          <w:szCs w:val="20"/>
        </w:rPr>
        <w:t xml:space="preserve"> (Jakarta: Rajawali Press, 2014); Sudarto, </w:t>
      </w:r>
      <w:r w:rsidRPr="00712ED2">
        <w:rPr>
          <w:rFonts w:asciiTheme="majorBidi" w:hAnsiTheme="majorBidi" w:cstheme="majorBidi"/>
          <w:i/>
          <w:noProof/>
          <w:sz w:val="20"/>
          <w:szCs w:val="20"/>
        </w:rPr>
        <w:t>Hukum Dan Hukum Pidana</w:t>
      </w:r>
      <w:r w:rsidRPr="00712ED2">
        <w:rPr>
          <w:rFonts w:asciiTheme="majorBidi" w:hAnsiTheme="majorBidi" w:cstheme="majorBidi"/>
          <w:noProof/>
          <w:sz w:val="20"/>
          <w:szCs w:val="20"/>
        </w:rPr>
        <w:t xml:space="preserve"> (Bandung: Alumni, 1981).</w:t>
      </w:r>
      <w:r w:rsidRPr="00712ED2">
        <w:rPr>
          <w:rFonts w:asciiTheme="majorBidi" w:hAnsiTheme="majorBidi" w:cstheme="majorBidi"/>
          <w:sz w:val="20"/>
          <w:szCs w:val="20"/>
        </w:rPr>
        <w:fldChar w:fldCharType="end"/>
      </w:r>
    </w:p>
  </w:footnote>
  <w:footnote w:id="9">
    <w:p w14:paraId="11297F96" w14:textId="6DA0A215"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Hoefnagels","given":"G.P","non-dropping-particle":"","parse-names":false,"suffix":""}],"id":"ITEM-1","issued":{"date-parts":[["1978"]]},"number-of-pages":"57","publisher":"Deventer-Kluwer","publisher-place":"Holland","title":"The Other Side of Chriminology","type":"book"},"uris":["http://www.mendeley.com/documents/?uuid=3c6c3d5e-c9e5-480b-9f09-9f40d3c59453"]}],"mendeley":{"formattedCitation":"G.P Hoefnagels, &lt;i&gt;The Other Side of Chriminology&lt;/i&gt; (Holland: Deventer-Kluwer, 1978).","plainTextFormattedCitation":"G.P Hoefnagels, The Other Side of Chriminology (Holland: Deventer-Kluwer, 1978).","previouslyFormattedCitation":"(Hoefnagels 1978)"},"properties":{"noteIndex":9},"schema":"https://github.com/citation-style-language/schema/raw/master/csl-citation.json"}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G.P Hoefnagels, </w:t>
      </w:r>
      <w:r w:rsidRPr="00712ED2">
        <w:rPr>
          <w:rFonts w:asciiTheme="majorBidi" w:hAnsiTheme="majorBidi" w:cstheme="majorBidi"/>
          <w:i/>
          <w:noProof/>
          <w:sz w:val="20"/>
          <w:szCs w:val="20"/>
        </w:rPr>
        <w:t>The Other Side of Chriminology</w:t>
      </w:r>
      <w:r w:rsidRPr="00712ED2">
        <w:rPr>
          <w:rFonts w:asciiTheme="majorBidi" w:hAnsiTheme="majorBidi" w:cstheme="majorBidi"/>
          <w:noProof/>
          <w:sz w:val="20"/>
          <w:szCs w:val="20"/>
        </w:rPr>
        <w:t xml:space="preserve"> (Holland: Deventer-Kluwer, 1978).</w:t>
      </w:r>
      <w:r w:rsidRPr="00712ED2">
        <w:rPr>
          <w:rFonts w:asciiTheme="majorBidi" w:hAnsiTheme="majorBidi" w:cstheme="majorBidi"/>
          <w:sz w:val="20"/>
          <w:szCs w:val="20"/>
        </w:rPr>
        <w:fldChar w:fldCharType="end"/>
      </w:r>
    </w:p>
  </w:footnote>
  <w:footnote w:id="10">
    <w:p w14:paraId="576B4114" w14:textId="5EE52EF1"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{"citationItems":[{"id":"ITEM-1","itemData":{"ISBN":"9789798949197","author":[{"dropping-particle":"","family":"Arief","given":"Barda Nawawi","non-dropping-particle":"","parse-names":false,"suffix":""}],"id":"ITEM-1","issued":{"date-parts":[["1996"]]},"publisher":"Badan Penerbit Universitas Diponegoro","publisher-place":"Semarang","title":"Kebijakan Legislatif dengan Pidana Penjara","type":"book"},"uris":["http://www.mendeley.com/documents/?uuid=bcb6ecd9-895e-4596-a1d7-ce1073e04f77"]}],"mendeley":{"formattedCitation":"Barda Nawawi Arief, &lt;i&gt;Kebijakan Legislatif Dengan Pidana Penjara&lt;/i&gt; (Semarang: Badan Penerbit Universitas Diponegoro, 1996).","plainTextFormattedCitation":"Barda Nawawi Arief, Kebijakan Legislatif Dengan Pidana Penjara (Semarang: Badan Penerbit Universitas Diponegoro, 1996).","previouslyFormattedCitation":"(Arief 1996)"},"properties":{"noteIndex":10},"schema":"https://github.com/citation-style-language/schema/raw/master/csl-citation.json"}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Barda Nawawi Arief, </w:t>
      </w:r>
      <w:r w:rsidRPr="00712ED2">
        <w:rPr>
          <w:rFonts w:asciiTheme="majorBidi" w:hAnsiTheme="majorBidi" w:cstheme="majorBidi"/>
          <w:i/>
          <w:noProof/>
          <w:sz w:val="20"/>
          <w:szCs w:val="20"/>
        </w:rPr>
        <w:t>Kebijakan Legislatif Dengan Pidana Penjara</w:t>
      </w:r>
      <w:r w:rsidRPr="00712ED2">
        <w:rPr>
          <w:rFonts w:asciiTheme="majorBidi" w:hAnsiTheme="majorBidi" w:cstheme="majorBidi"/>
          <w:noProof/>
          <w:sz w:val="20"/>
          <w:szCs w:val="20"/>
        </w:rPr>
        <w:t xml:space="preserve"> (Semarang: Badan Penerbit Universitas Diponegoro, 1996).</w:t>
      </w:r>
      <w:r w:rsidRPr="00712ED2">
        <w:rPr>
          <w:rFonts w:asciiTheme="majorBidi" w:hAnsiTheme="majorBidi" w:cstheme="majorBidi"/>
          <w:sz w:val="20"/>
          <w:szCs w:val="20"/>
        </w:rPr>
        <w:fldChar w:fldCharType="end"/>
      </w:r>
    </w:p>
  </w:footnote>
  <w:footnote w:id="11">
    <w:p w14:paraId="39E1E6D9" w14:textId="53D1CD32"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{"citationItems":[{"id":"ITEM-1","itemData":{"author":[{"dropping-particle":"","family":"Wahyono","given":"Padmo","non-dropping-particle":"","parse-names":false,"suffix":""}],"id":"ITEM-1","issued":{"date-parts":[["1986"]]},"number-of-pages":"160","publisher":"Ghalia Indonesia","publisher-place":"Jakarta","title":"Indonesia Negara Berdasarkan atas Hukum","type":"book"},"uris":["http://www.mendeley.com/documents/?uuid=a9f3202f-4cc1-4541-9163-c667c5dc454f"]}],"mendeley":{"formattedCitation":"Padmo Wahyono, &lt;i&gt;Indonesia Negara Berdasarkan Atas Hukum&lt;/i&gt; (Jakarta: Ghalia Indonesia, 1986).","plainTextFormattedCitation":"Padmo Wahyono, Indonesia Negara Berdasarkan Atas Hukum (Jakarta: Ghalia Indonesia, 1986).","previouslyFormattedCitation":"(Wahyono 1986)"},"properties":{"noteIndex":11},"schema":"https://github.com/citation-style-language/schema/raw/master/csl-citation.json"}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Padmo Wahyono, </w:t>
      </w:r>
      <w:r w:rsidRPr="00712ED2">
        <w:rPr>
          <w:rFonts w:asciiTheme="majorBidi" w:hAnsiTheme="majorBidi" w:cstheme="majorBidi"/>
          <w:i/>
          <w:noProof/>
          <w:sz w:val="20"/>
          <w:szCs w:val="20"/>
        </w:rPr>
        <w:t>Indonesia Negara Berdasarkan Atas Hukum</w:t>
      </w:r>
      <w:r w:rsidRPr="00712ED2">
        <w:rPr>
          <w:rFonts w:asciiTheme="majorBidi" w:hAnsiTheme="majorBidi" w:cstheme="majorBidi"/>
          <w:noProof/>
          <w:sz w:val="20"/>
          <w:szCs w:val="20"/>
        </w:rPr>
        <w:t xml:space="preserve"> (Jakarta: Ghalia Indonesia, 1986).</w:t>
      </w:r>
      <w:r w:rsidRPr="00712ED2">
        <w:rPr>
          <w:rFonts w:asciiTheme="majorBidi" w:hAnsiTheme="majorBidi" w:cstheme="majorBidi"/>
          <w:sz w:val="20"/>
          <w:szCs w:val="20"/>
        </w:rPr>
        <w:fldChar w:fldCharType="end"/>
      </w:r>
    </w:p>
  </w:footnote>
  <w:footnote w:id="12">
    <w:p w14:paraId="050954BD" w14:textId="531814DE"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{"citationItems":[{"id":"ITEM-1","itemData":{"author":[{"dropping-particle":"","family":"Sudarto","given":"","non-dropping-particle":"","parse-names":false,"suffix":""}],"id":"ITEM-1","issued":{"date-parts":[["1983"]]},"number-of-pages":"20","publisher":"Sinar Baru","publisher-place":"Bandung","title":"Hukum Pidana dan Perkembangan Masyarakat","type":"book"},"uris":["http://www.mendeley.com/documents/?uuid=f8428f35-51b0-40a4-9e89-4857cea32ab5"]}],"mendeley":{"formattedCitation":"Sudarto, &lt;i&gt;Hukum Pidana Dan Perkembangan Masyarakat&lt;/i&gt; (Bandung: Sinar Baru, 1983).","plainTextFormattedCitation":"Sudarto, Hukum Pidana Dan Perkembangan Masyarakat (Bandung: Sinar Baru, 1983).","previouslyFormattedCitation":"(Sudarto 1983)"},"properties":{"noteIndex":12},"schema":"https://github.com/citation-style-language/schema/raw/master/csl-citation.json"}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Sudarto, </w:t>
      </w:r>
      <w:r w:rsidRPr="00712ED2">
        <w:rPr>
          <w:rFonts w:asciiTheme="majorBidi" w:hAnsiTheme="majorBidi" w:cstheme="majorBidi"/>
          <w:i/>
          <w:noProof/>
          <w:sz w:val="20"/>
          <w:szCs w:val="20"/>
        </w:rPr>
        <w:t>Hukum Pidana Dan Perkembangan Masyarakat</w:t>
      </w:r>
      <w:r w:rsidRPr="00712ED2">
        <w:rPr>
          <w:rFonts w:asciiTheme="majorBidi" w:hAnsiTheme="majorBidi" w:cstheme="majorBidi"/>
          <w:noProof/>
          <w:sz w:val="20"/>
          <w:szCs w:val="20"/>
        </w:rPr>
        <w:t xml:space="preserve"> (Bandung: Sinar Baru, 1983).</w:t>
      </w:r>
      <w:r w:rsidRPr="00712ED2">
        <w:rPr>
          <w:rFonts w:asciiTheme="majorBidi" w:hAnsiTheme="majorBidi" w:cstheme="majorBidi"/>
          <w:sz w:val="20"/>
          <w:szCs w:val="20"/>
        </w:rPr>
        <w:fldChar w:fldCharType="end"/>
      </w:r>
    </w:p>
  </w:footnote>
  <w:footnote w:id="13">
    <w:p w14:paraId="19925792" w14:textId="1BE1F27B"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{"citationItems":[{"id":"ITEM-1","itemData":{"DOI":"10.31599/jkn.v1i1.14","ISSN":"2442-7985","abstract":"Dalam hal penanggulangan kejahatan yang termasuk dalam kebijakan kriminil/criminal policy digunakan dua kebijakan atau policies yaitu kebijakan penal dan kebijakan non penal. Tujuan hukum adalah mengatur pergaulan hidup secara damai sehingga tercapai ketertiban umum. Perdamaian diantara manusia dipertahankan oleh hukum dengan melindungi kepentingan-kepentingan manusia yang tertentu, kehormatan, kemerdekaan, jiwa, harta dan sebagainya terhadap mereka yang merugikannya. Pada hakekaanya manusia itu hidup sebagai, manusia perseorangan dan sekaligus sebagai mahluk sosial. Kesusilaan menyangkut manusia sebagai perseorangan, sedangkan hukum dan adat menyangkut masyarakat. Hukum mempunyai dua daya kerja. Ia memberikan kekuasaan dan meletakan kewajiban. Ia serentak normatif dan atributif. Sedangkan kesusilaan hanya meletakkan kewajiban, dan semata-mata bersifat normatif. Tinjauan terhadap arah hukum pidana dalam konsep RUU KUHP, membawa kita kepada pembahasan terhadap politik hukum (criminal law politics) yang mendasari penyusunan konsep RUU KUHP. Politik hukum pidana bagaimana yang menjadi landasan perumusan bentuk-bentuk kejahatan yang terdapat dalam konsep RUU KUHP ? Disini letak arti penting mengapa perlu mempertimbangkan konteks perubahan politik saat ini seperti sudah dipaparkan.Kata kunci: Hukum, Pidana, KUHP, Undang-undang dan Politik","author":[{"dropping-particle":"","family":"Irsan","given":"Koesparmono","non-dropping-particle":"","parse-names":false,"suffix":""}],"container-title":"Jurnal Keamanan Nasional","id":"ITEM-1","issue":"1","issued":{"date-parts":[["2015"]]},"page":"79-104","title":"Arah Politik Hukum Pidana dalam Rencana Undang-Undang Hukum Pidana","type":"article-journal","volume":"1"},"uris":["http://www.mendeley.com/documents/?uuid=7195cca1-449c-449c-9794-fac69f635897"]}],"mendeley":{"formattedCitation":"Koesparmono Irsan, “Arah Politik Hukum Pidana Dalam Rencana Undang-Undang Hukum Pidana,” &lt;i&gt;Jurnal Keamanan Nasional&lt;/i&gt; 1, no. 1 (2015): 79–104, https://doi.org/10.31599/jkn.v1i1.14.","plainTextFormattedCitation":"Koesparmono Irsan, “Arah Politik Hukum Pidana Dalam Rencana Undang-Undang Hukum Pidana,” Jurnal Keamanan Nasional 1, no. 1 (2015): 79–104, https://doi.org/10.31599/jkn.v1i1.14.","previouslyFormattedCitation":"(Irsan 2015)"},"properties":{"noteIndex":13},"schema":"https://github.com/citation-style-language/schema/raw/master/csl-citation.json"}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Koesparmono Irsan, “Arah Politik Hukum Pidana Dalam Rencana Undang-Undang Hukum Pidana,” </w:t>
      </w:r>
      <w:r w:rsidRPr="00712ED2">
        <w:rPr>
          <w:rFonts w:asciiTheme="majorBidi" w:hAnsiTheme="majorBidi" w:cstheme="majorBidi"/>
          <w:i/>
          <w:noProof/>
          <w:sz w:val="20"/>
          <w:szCs w:val="20"/>
        </w:rPr>
        <w:t>Jurnal Keamanan Nasional</w:t>
      </w:r>
      <w:r w:rsidRPr="00712ED2">
        <w:rPr>
          <w:rFonts w:asciiTheme="majorBidi" w:hAnsiTheme="majorBidi" w:cstheme="majorBidi"/>
          <w:noProof/>
          <w:sz w:val="20"/>
          <w:szCs w:val="20"/>
        </w:rPr>
        <w:t xml:space="preserve"> 1, no. 1 (2015): 79–104, https://doi.org/10.31599/jkn.v1i1.14.</w:t>
      </w:r>
      <w:r w:rsidRPr="00712ED2">
        <w:rPr>
          <w:rFonts w:asciiTheme="majorBidi" w:hAnsiTheme="majorBidi" w:cstheme="majorBidi"/>
          <w:sz w:val="20"/>
          <w:szCs w:val="20"/>
        </w:rPr>
        <w:fldChar w:fldCharType="end"/>
      </w:r>
    </w:p>
  </w:footnote>
  <w:footnote w:id="14">
    <w:p w14:paraId="1EB3630E" w14:textId="09ACB454"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{"citationItems":[{"id":"ITEM-1","itemData":{"author":[{"dropping-particle":"","family":"Stefanus","given":"Kotan Y","non-dropping-particle":"","parse-names":false,"suffix":""}],"id":"ITEM-1","issued":{"date-parts":[["1998"]]},"number-of-pages":"12","publisher":"Universitas Atma Jaya","publisher-place":"Yogyakarta","title":"Perkembangan Kekuasaan Pemerintahan Negara (Dimensi Pendekatan Politik Hukum terhadap Kekuasaan Presiden Menurut Undang-Undang Dasar 1945)","type":"book"},"uris":["http://www.mendeley.com/documents/?uuid=3dbac90d-5c0d-441b-b244-f43250dabd69"]}],"mendeley":{"formattedCitation":"Kotan Y Stefanus, &lt;i&gt;Perkembangan Kekuasaan Pemerintahan Negara (Dimensi Pendekatan Politik Hukum Terhadap Kekuasaan Presiden Menurut Undang-Undang Dasar 1945)&lt;/i&gt; (Yogyakarta: Universitas Atma Jaya, 1998).","plainTextFormattedCitation":"Kotan Y Stefanus, Perkembangan Kekuasaan Pemerintahan Negara (Dimensi Pendekatan Politik Hukum Terhadap Kekuasaan Presiden Menurut Undang-Undang Dasar 1945) (Yogyakarta: Universitas Atma Jaya, 1998).","previouslyFormattedCitation":"(Stefanus 1998)"},"properties":{"noteIndex":14},"schema":"https://github.com/citation-style-language/schema/raw/master/csl-citation.json"}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Kotan Y Stefanus, </w:t>
      </w:r>
      <w:r w:rsidRPr="00712ED2">
        <w:rPr>
          <w:rFonts w:asciiTheme="majorBidi" w:hAnsiTheme="majorBidi" w:cstheme="majorBidi"/>
          <w:i/>
          <w:noProof/>
          <w:sz w:val="20"/>
          <w:szCs w:val="20"/>
        </w:rPr>
        <w:t>Perkembangan Kekuasaan Pemerintahan Negara (Dimensi Pendekatan Politik Hukum Terhadap Kekuasaan Presiden Menurut Undang-Undang Dasar 1945)</w:t>
      </w:r>
      <w:r w:rsidRPr="00712ED2">
        <w:rPr>
          <w:rFonts w:asciiTheme="majorBidi" w:hAnsiTheme="majorBidi" w:cstheme="majorBidi"/>
          <w:noProof/>
          <w:sz w:val="20"/>
          <w:szCs w:val="20"/>
        </w:rPr>
        <w:t xml:space="preserve"> (Yogyakarta: Universitas Atma Jaya, 1998).</w:t>
      </w:r>
      <w:r w:rsidRPr="00712ED2">
        <w:rPr>
          <w:rFonts w:asciiTheme="majorBidi" w:hAnsiTheme="majorBidi" w:cstheme="majorBidi"/>
          <w:sz w:val="20"/>
          <w:szCs w:val="20"/>
        </w:rPr>
        <w:fldChar w:fldCharType="end"/>
      </w:r>
    </w:p>
  </w:footnote>
  <w:footnote w:id="15">
    <w:p w14:paraId="6EA8BB8A" w14:textId="44F2943A"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Hoefnagels","given":"G.P","non-dropping-particle":"","parse-names":false,"suffix":""}],"id":"ITEM-1","issued":{"date-parts":[["1978"]]},"number-of-pages":"57","publisher":"Deventer-Kluwer","publisher-place":"Holland","title":"The Other Side of Chriminology","type":"book"},"uris":["http://www.mendeley.com/documents/?uuid=3c6c3d5e-c9e5-480b-9f09-9f40d3c59453"]}],"mendeley":{"formattedCitation":"Hoefnagels, &lt;i&gt;The Other Side of Chriminology&lt;/i&gt;.","plainTextFormattedCitation":"Hoefnagels, The Other Side of Chriminology.","previouslyFormattedCitation":"(Hoefnagels 1978)"},"properties":{"noteIndex":15},"schema":"https://github.com/citation-style-language/schema/raw/master/csl-citation.json"}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Hoefnagels, </w:t>
      </w:r>
      <w:r w:rsidRPr="00712ED2">
        <w:rPr>
          <w:rFonts w:asciiTheme="majorBidi" w:hAnsiTheme="majorBidi" w:cstheme="majorBidi"/>
          <w:i/>
          <w:noProof/>
          <w:sz w:val="20"/>
          <w:szCs w:val="20"/>
        </w:rPr>
        <w:t>The Other Side of Chriminology</w:t>
      </w:r>
      <w:r w:rsidRPr="00712ED2">
        <w:rPr>
          <w:rFonts w:asciiTheme="majorBidi" w:hAnsiTheme="majorBidi" w:cstheme="majorBidi"/>
          <w:noProof/>
          <w:sz w:val="20"/>
          <w:szCs w:val="20"/>
        </w:rPr>
        <w:t>.</w:t>
      </w:r>
      <w:r w:rsidRPr="00712ED2">
        <w:rPr>
          <w:rFonts w:asciiTheme="majorBidi" w:hAnsiTheme="majorBidi" w:cstheme="majorBidi"/>
          <w:sz w:val="20"/>
          <w:szCs w:val="20"/>
        </w:rPr>
        <w:fldChar w:fldCharType="end"/>
      </w:r>
    </w:p>
  </w:footnote>
  <w:footnote w:id="16">
    <w:p w14:paraId="21C2D445" w14:textId="27797024"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{"citationItems":[{"id":"ITEM-1","itemData":{"ISBN":"9789791486460","author":[{"dropping-particle":"","family":"Arief","given":"Barda Nawawi","non-dropping-particle":"","parse-names":false,"suffix":""}],"id":"ITEM-1","issued":{"date-parts":[["2008"]]},"publisher":"Kencana Prenada Media Group","publisher-place":"Jakarta","title":"Bunga rampai kebijakan hukum pidana (perkembangan penyusunan konsep KUHP baru)","type":"book"},"uris":["http://www.mendeley.com/documents/?uuid=5bbd4b52-680c-49e0-b3aa-491cf9a71a73"]}],"mendeley":{"formattedCitation":"Barda Nawawi Arief, &lt;i&gt;Bunga Rampai Kebijakan Hukum Pidana (Perkembangan Penyusunan Konsep KUHP Baru)&lt;/i&gt; (Jakarta: Kencana Prenada Media Group, 2008).","plainTextFormattedCitation":"Barda Nawawi Arief, Bunga Rampai Kebijakan Hukum Pidana (Perkembangan Penyusunan Konsep KUHP Baru) (Jakarta: Kencana Prenada Media Group, 2008).","previouslyFormattedCitation":"(Arief 2008)"},"properties":{"noteIndex":16},"schema":"https://github.com/citation-style-language/schema/raw/master/csl-citation.json"}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Barda Nawawi Arief, </w:t>
      </w:r>
      <w:r w:rsidRPr="00712ED2">
        <w:rPr>
          <w:rFonts w:asciiTheme="majorBidi" w:hAnsiTheme="majorBidi" w:cstheme="majorBidi"/>
          <w:i/>
          <w:noProof/>
          <w:sz w:val="20"/>
          <w:szCs w:val="20"/>
        </w:rPr>
        <w:t>Bunga Rampai Kebijakan Hukum Pidana (Perkembangan Penyusunan Konsep KUHP Baru)</w:t>
      </w:r>
      <w:r w:rsidRPr="00712ED2">
        <w:rPr>
          <w:rFonts w:asciiTheme="majorBidi" w:hAnsiTheme="majorBidi" w:cstheme="majorBidi"/>
          <w:noProof/>
          <w:sz w:val="20"/>
          <w:szCs w:val="20"/>
        </w:rPr>
        <w:t xml:space="preserve"> (Jakarta: Kencana Prenada Media Group, 2008).</w:t>
      </w:r>
      <w:r w:rsidRPr="00712ED2">
        <w:rPr>
          <w:rFonts w:asciiTheme="majorBidi" w:hAnsiTheme="majorBidi" w:cstheme="majorBidi"/>
          <w:sz w:val="20"/>
          <w:szCs w:val="20"/>
        </w:rPr>
        <w:fldChar w:fldCharType="end"/>
      </w:r>
    </w:p>
  </w:footnote>
  <w:footnote w:id="17">
    <w:p w14:paraId="126AAC35" w14:textId="06DED973"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{"citationItems":[{"id":"ITEM-1","itemData":{"author":[{"dropping-particle":"","family":"Stefanus","given":"Kotan Y","non-dropping-particle":"","parse-names":false,"suffix":""}],"id":"ITEM-1","issued":{"date-parts":[["1998"]]},"number-of-pages":"12","publisher":"Universitas Atma Jaya","publisher-place":"Yogyakarta","title":"Perkembangan Kekuasaan Pemerintahan Negara (Dimensi Pendekatan Politik Hukum terhadap Kekuasaan Presiden Menurut Undang-Undang Dasar 1945)","type":"book"},"uris":["http://www.mendeley.com/documents/?uuid=3dbac90d-5c0d-441b-b244-f43250dabd69"]}],"mendeley":{"formattedCitation":"Stefanus, &lt;i&gt;Perkembangan Kekuasaan Pemerintahan Negara (Dimensi Pendekatan Politik Hukum Terhadap Kekuasaan Presiden Menurut Undang-Undang Dasar 1945)&lt;/i&gt;.","plainTextFormattedCitation":"Stefanus, Perkembangan Kekuasaan Pemerintahan Negara (Dimensi Pendekatan Politik Hukum Terhadap Kekuasaan Presiden Menurut Undang-Undang Dasar 1945).","previouslyFormattedCitation":"(Stefanus 1998)"},"properties":{"noteIndex":17},"schema":"https://github.com/citation-style-language/schema/raw/master/csl-citation.json"}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Stefanus, </w:t>
      </w:r>
      <w:r w:rsidRPr="00712ED2">
        <w:rPr>
          <w:rFonts w:asciiTheme="majorBidi" w:hAnsiTheme="majorBidi" w:cstheme="majorBidi"/>
          <w:i/>
          <w:noProof/>
          <w:sz w:val="20"/>
          <w:szCs w:val="20"/>
        </w:rPr>
        <w:t>Perkembangan Kekuasaan Pemerintahan Negara (Dimensi Pendekatan Politik Hukum Terhadap Kekuasaan Presiden Menurut Undang-Undang Dasar 1945)</w:t>
      </w:r>
      <w:r w:rsidRPr="00712ED2">
        <w:rPr>
          <w:rFonts w:asciiTheme="majorBidi" w:hAnsiTheme="majorBidi" w:cstheme="majorBidi"/>
          <w:noProof/>
          <w:sz w:val="20"/>
          <w:szCs w:val="20"/>
        </w:rPr>
        <w:t>.</w:t>
      </w:r>
      <w:r w:rsidRPr="00712ED2">
        <w:rPr>
          <w:rFonts w:asciiTheme="majorBidi" w:hAnsiTheme="majorBidi" w:cstheme="majorBidi"/>
          <w:sz w:val="20"/>
          <w:szCs w:val="20"/>
        </w:rPr>
        <w:fldChar w:fldCharType="end"/>
      </w:r>
    </w:p>
  </w:footnote>
  <w:footnote w:id="18">
    <w:p w14:paraId="3F8DE66D" w14:textId="7A7A39E0"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{"citationItems":[{"id":"ITEM-1","itemData":{"DOI":"10.25041/fiatjustisia.v8no2.301","ISSN":"1978-5186","abstract":"The purpose of this study was to find a political choice of law in criminal law reform. Using a juridical approach using secondary data, it can be concluded that the legal political reform criminal law in Indonesia is still ongoing and to be part of the development of the national legal system. Legal political development of the national legal system should be based on Pancasila as a guide and tool for political filtering of national law and UUDNRI 1945 Constitution as the basic law. One form of political reform criminal law is by adopting the concept of restorative justice as an alternative mechanism for the settlement of legal issues that occur without the use of judicial proceedings. With the approach of restorative justice, the enforcement of which has always used retributive approach (retaliation) would merely shift to restorative approaches (recovery). The concept of restorative justice can be political legal permanent (permanent) in building the national criminal justice system that will come.","author":[{"dropping-particle":"","family":"Chandra","given":"Septa","non-dropping-particle":"","parse-names":false,"suffix":""}],"container-title":"FIAT JUSTISIA:Jurnal Ilmu Hukum","id":"ITEM-1","issue":"2","issued":{"date-parts":[["2015"]]},"page":"255-277","title":"Politik Hukum Pengadopsian Restorative Justice Dalam Pembaharuan Hukum Pidana","type":"article-journal","volume":"8"},"uris":["http://www.mendeley.com/documents/?uuid=cedfcaa0-2275-48f4-b0c5-8403b08b2cdc"]}],"mendeley":{"formattedCitation":"Septa Chandra, “Politik Hukum Pengadopsian Restorative Justice Dalam Pembaharuan Hukum Pidana,” &lt;i&gt;FIAT JUSTISIA:Jurnal Ilmu Hukum&lt;/i&gt; 8, no. 2 (2015): 255–77, https://doi.org/10.25041/fiatjustisia.v8no2.301.","plainTextFormattedCitation":"Septa Chandra, “Politik Hukum Pengadopsian Restorative Justice Dalam Pembaharuan Hukum Pidana,” FIAT JUSTISIA:Jurnal Ilmu Hukum 8, no. 2 (2015): 255–77, https://doi.org/10.25041/fiatjustisia.v8no2.301.","previouslyFormattedCitation":"(Chandra 2015)"},"properties":{"noteIndex":18},"schema":"https://github.com/citation-style-language/schema/raw/master/csl-citation.json"}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Septa Chandra, “Politik Hukum Pengadopsian Restorative Justice Dalam Pembaharuan Hukum Pidana,” </w:t>
      </w:r>
      <w:r w:rsidRPr="00712ED2">
        <w:rPr>
          <w:rFonts w:asciiTheme="majorBidi" w:hAnsiTheme="majorBidi" w:cstheme="majorBidi"/>
          <w:i/>
          <w:noProof/>
          <w:sz w:val="20"/>
          <w:szCs w:val="20"/>
        </w:rPr>
        <w:t>FIAT JUSTISIA:Jurnal Ilmu Hukum</w:t>
      </w:r>
      <w:r w:rsidRPr="00712ED2">
        <w:rPr>
          <w:rFonts w:asciiTheme="majorBidi" w:hAnsiTheme="majorBidi" w:cstheme="majorBidi"/>
          <w:noProof/>
          <w:sz w:val="20"/>
          <w:szCs w:val="20"/>
        </w:rPr>
        <w:t xml:space="preserve"> 8, no. 2 (2015): 255–77, https://doi.org/10.25041/fiatjustisia.v8no2.301.</w:t>
      </w:r>
      <w:r w:rsidRPr="00712ED2">
        <w:rPr>
          <w:rFonts w:asciiTheme="majorBidi" w:hAnsiTheme="majorBidi" w:cstheme="majorBidi"/>
          <w:sz w:val="20"/>
          <w:szCs w:val="20"/>
        </w:rPr>
        <w:fldChar w:fldCharType="end"/>
      </w:r>
    </w:p>
  </w:footnote>
  <w:footnote w:id="19">
    <w:p w14:paraId="614B909E" w14:textId="3B7BE257"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{"citationItems":[{"id":"ITEM-1","itemData":{"author":[{"dropping-particle":"","family":"Muladi","given":"","non-dropping-particle":"","parse-names":false,"suffix":""}],"id":"ITEM-1","issued":{"date-parts":[["2006"]]},"publisher-place":"Jakarta","title":"Politik Hukum Pidana, Dasar Kriminalisasi dan Dekriminalisasi serta Beberapa Perkembangan asas dalam RUU KUHP","type":"report"},"uris":["http://www.mendeley.com/documents/?uuid=4b6788e5-bd29-4d3f-b5a5-cad9e60d39c7"]}],"mendeley":{"formattedCitation":"Muladi, “Politik Hukum Pidana, Dasar Kriminalisasi Dan Dekriminalisasi Serta Beberapa Perkembangan Asas Dalam RUU KUHP” (Jakarta, 2006).","plainTextFormattedCitation":"Muladi, “Politik Hukum Pidana, Dasar Kriminalisasi Dan Dekriminalisasi Serta Beberapa Perkembangan Asas Dalam RUU KUHP” (Jakarta, 2006).","previouslyFormattedCitation":"(Muladi 2006)"},"properties":{"noteIndex":19},"schema":"https://github.com/citation-style-language/schema/raw/master/csl-citation.json"}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Muladi, “Politik Hukum Pidana, Dasar Kriminalisasi Dan Dekriminalisasi Serta Beberapa Perkembangan Asas Dalam RUU KUHP” (Jakarta, 2006).</w:t>
      </w:r>
      <w:r w:rsidRPr="00712ED2">
        <w:rPr>
          <w:rFonts w:asciiTheme="majorBidi" w:hAnsiTheme="majorBidi" w:cstheme="majorBidi"/>
          <w:sz w:val="20"/>
          <w:szCs w:val="20"/>
        </w:rPr>
        <w:fldChar w:fldCharType="end"/>
      </w:r>
    </w:p>
  </w:footnote>
  <w:footnote w:id="20">
    <w:p w14:paraId="37511573" w14:textId="7997E0E4"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{"citationItems":[{"id":"ITEM-1","itemData":{"author":[{"dropping-particle":"","family":"Sudarto","given":"","non-dropping-particle":"","parse-names":false,"suffix":""}],"id":"ITEM-1","issued":{"date-parts":[["1983"]]},"number-of-pages":"20","publisher":"Sinar Baru","publisher-place":"Bandung","title":"Hukum Pidana dan Perkembangan Masyarakat","type":"book"},"uris":["http://www.mendeley.com/documents/?uuid=f8428f35-51b0-40a4-9e89-4857cea32ab5"]}],"mendeley":{"formattedCitation":"Sudarto, &lt;i&gt;Hukum Pidana Dan Perkembangan Masyarakat&lt;/i&gt;.","plainTextFormattedCitation":"Sudarto, Hukum Pidana Dan Perkembangan Masyarakat.","previouslyFormattedCitation":"(Sudarto 1983)"},"properties":{"noteIndex":20},"schema":"https://github.com/citation-style-language/schema/raw/master/csl-citation.json"}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Sudarto, </w:t>
      </w:r>
      <w:r w:rsidRPr="00712ED2">
        <w:rPr>
          <w:rFonts w:asciiTheme="majorBidi" w:hAnsiTheme="majorBidi" w:cstheme="majorBidi"/>
          <w:i/>
          <w:noProof/>
          <w:sz w:val="20"/>
          <w:szCs w:val="20"/>
        </w:rPr>
        <w:t>Hukum Pidana Dan Perkembangan Masyarakat</w:t>
      </w:r>
      <w:r w:rsidRPr="00712ED2">
        <w:rPr>
          <w:rFonts w:asciiTheme="majorBidi" w:hAnsiTheme="majorBidi" w:cstheme="majorBidi"/>
          <w:noProof/>
          <w:sz w:val="20"/>
          <w:szCs w:val="20"/>
        </w:rPr>
        <w:t>.</w:t>
      </w:r>
      <w:r w:rsidRPr="00712ED2">
        <w:rPr>
          <w:rFonts w:asciiTheme="majorBidi" w:hAnsiTheme="majorBidi" w:cstheme="majorBidi"/>
          <w:sz w:val="20"/>
          <w:szCs w:val="20"/>
        </w:rPr>
        <w:fldChar w:fldCharType="end"/>
      </w:r>
    </w:p>
  </w:footnote>
  <w:footnote w:id="21">
    <w:p w14:paraId="67D8DB6E" w14:textId="6BEA9587"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{"citationItems":[{"id":"ITEM-1","itemData":{"ISBN":"9789791486460","author":[{"dropping-particle":"","family":"Arief","given":"Barda Nawawi","non-dropping-particle":"","parse-names":false,"suffix":""}],"id":"ITEM-1","issued":{"date-parts":[["2008"]]},"publisher":"Kencana Prenada Media Group","publisher-place":"Jakarta","title":"Bunga rampai kebijakan hukum pidana (perkembangan penyusunan konsep KUHP baru)","type":"book"},"uris":["http://www.mendeley.com/documents/?uuid=5bbd4b52-680c-49e0-b3aa-491cf9a71a73"]}],"mendeley":{"formattedCitation":"Arief, &lt;i&gt;Bunga Rampai Kebijakan Hukum Pidana (Perkembangan Penyusunan Konsep KUHP Baru)&lt;/i&gt;.","plainTextFormattedCitation":"Arief, Bunga Rampai Kebijakan Hukum Pidana (Perkembangan Penyusunan Konsep KUHP Baru).","previouslyFormattedCitation":"(Arief 2008)"},"properties":{"noteIndex":21},"schema":"https://github.com/citation-style-language/schema/raw/master/csl-citation.json"}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Arief, </w:t>
      </w:r>
      <w:r w:rsidRPr="00712ED2">
        <w:rPr>
          <w:rFonts w:asciiTheme="majorBidi" w:hAnsiTheme="majorBidi" w:cstheme="majorBidi"/>
          <w:i/>
          <w:noProof/>
          <w:sz w:val="20"/>
          <w:szCs w:val="20"/>
        </w:rPr>
        <w:t>Bunga Rampai Kebijakan Hukum Pidana (Perkembangan Penyusunan Konsep KUHP Baru)</w:t>
      </w:r>
      <w:r w:rsidRPr="00712ED2">
        <w:rPr>
          <w:rFonts w:asciiTheme="majorBidi" w:hAnsiTheme="majorBidi" w:cstheme="majorBidi"/>
          <w:noProof/>
          <w:sz w:val="20"/>
          <w:szCs w:val="20"/>
        </w:rPr>
        <w:t>.</w:t>
      </w:r>
      <w:r w:rsidRPr="00712ED2">
        <w:rPr>
          <w:rFonts w:asciiTheme="majorBidi" w:hAnsiTheme="majorBidi" w:cstheme="majorBidi"/>
          <w:sz w:val="20"/>
          <w:szCs w:val="20"/>
        </w:rPr>
        <w:fldChar w:fldCharType="end"/>
      </w:r>
    </w:p>
  </w:footnote>
  <w:footnote w:id="22">
    <w:p w14:paraId="3BD0169B" w14:textId="0857A86A"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{"citationItems":[{"id":"ITEM-1","itemData":{"author":[{"dropping-particle":"","family":"Sutrisno","given":"Endang","non-dropping-particle":"","parse-names":false,"suffix":""}],"id":"ITEM-1","issued":{"date-parts":[["2009"]]},"number-of-pages":"1003-1004","publisher":"Genta Press","publisher-place":"Yogyakarta","title":"Bunga Rampai Hukum dan Globalisasi","type":"book"},"uris":["http://www.mendeley.com/documents/?uuid=7933eac3-6ac0-448b-abb3-bd7e8b477d78"]}],"mendeley":{"formattedCitation":"Endang Sutrisno, &lt;i&gt;Bunga Rampai Hukum Dan Globalisasi&lt;/i&gt; (Yogyakarta: Genta Press, 2009).","plainTextFormattedCitation":"Endang Sutrisno, Bunga Rampai Hukum Dan Globalisasi (Yogyakarta: Genta Press, 2009).","previouslyFormattedCitation":"(Sutrisno 2009)"},"properties":{"noteIndex":22},"schema":"https://github.com/citation-style-language/schema/raw/master/csl-citation.json"}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Endang Sutrisno, </w:t>
      </w:r>
      <w:r w:rsidRPr="00712ED2">
        <w:rPr>
          <w:rFonts w:asciiTheme="majorBidi" w:hAnsiTheme="majorBidi" w:cstheme="majorBidi"/>
          <w:i/>
          <w:noProof/>
          <w:sz w:val="20"/>
          <w:szCs w:val="20"/>
        </w:rPr>
        <w:t>Bunga Rampai Hukum Dan Globalisasi</w:t>
      </w:r>
      <w:r w:rsidRPr="00712ED2">
        <w:rPr>
          <w:rFonts w:asciiTheme="majorBidi" w:hAnsiTheme="majorBidi" w:cstheme="majorBidi"/>
          <w:noProof/>
          <w:sz w:val="20"/>
          <w:szCs w:val="20"/>
        </w:rPr>
        <w:t xml:space="preserve"> (Yogyakarta: Genta Press, 2009).</w:t>
      </w:r>
      <w:r w:rsidRPr="00712ED2">
        <w:rPr>
          <w:rFonts w:asciiTheme="majorBidi" w:hAnsiTheme="majorBidi" w:cstheme="majorBidi"/>
          <w:sz w:val="20"/>
          <w:szCs w:val="20"/>
        </w:rPr>
        <w:fldChar w:fldCharType="end"/>
      </w:r>
    </w:p>
  </w:footnote>
  <w:footnote w:id="23">
    <w:p w14:paraId="1ACBF68A" w14:textId="5BE24B7A"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{"citationItems":[{"id":"ITEM-1","itemData":{"author":[{"dropping-particle":"","family":"Wahyono","given":"Padmo","non-dropping-particle":"","parse-names":false,"suffix":""}],"id":"ITEM-1","issued":{"date-parts":[["1986"]]},"number-of-pages":"160","publisher":"Ghalia Indonesia","publisher-place":"Jakarta","title":"Indonesia Negara Berdasarkan atas Hukum","type":"book"},"uris":["http://www.mendeley.com/documents/?uuid=a9f3202f-4cc1-4541-9163-c667c5dc454f"]}],"mendeley":{"formattedCitation":"Wahyono, &lt;i&gt;Indonesia Negara Berdasarkan Atas Hukum&lt;/i&gt;.","plainTextFormattedCitation":"Wahyono, Indonesia Negara Berdasarkan Atas Hukum.","previouslyFormattedCitation":"(Wahyono 1986)"},"properties":{"noteIndex":23},"schema":"https://github.com/citation-style-language/schema/raw/master/csl-citation.json"}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Wahyono, </w:t>
      </w:r>
      <w:r w:rsidRPr="00712ED2">
        <w:rPr>
          <w:rFonts w:asciiTheme="majorBidi" w:hAnsiTheme="majorBidi" w:cstheme="majorBidi"/>
          <w:i/>
          <w:noProof/>
          <w:sz w:val="20"/>
          <w:szCs w:val="20"/>
        </w:rPr>
        <w:t>Indonesia Negara Berdasarkan Atas Hukum</w:t>
      </w:r>
      <w:r w:rsidRPr="00712ED2">
        <w:rPr>
          <w:rFonts w:asciiTheme="majorBidi" w:hAnsiTheme="majorBidi" w:cstheme="majorBidi"/>
          <w:noProof/>
          <w:sz w:val="20"/>
          <w:szCs w:val="20"/>
        </w:rPr>
        <w:t>.</w:t>
      </w:r>
      <w:r w:rsidRPr="00712ED2">
        <w:rPr>
          <w:rFonts w:asciiTheme="majorBidi" w:hAnsiTheme="majorBidi" w:cstheme="majorBidi"/>
          <w:sz w:val="20"/>
          <w:szCs w:val="20"/>
        </w:rPr>
        <w:fldChar w:fldCharType="end"/>
      </w:r>
    </w:p>
  </w:footnote>
  <w:footnote w:id="24">
    <w:p w14:paraId="65C3497A" w14:textId="3FE6BB19"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{"citationItems":[{"id":"ITEM-1","itemData":{"author":[{"dropping-particle":"","family":"Rahardjo","given":"Satjipto","non-dropping-particle":"","parse-names":false,"suffix":""}],"id":"ITEM-1","issued":{"date-parts":[["1991"]]},"number-of-pages":"112","publisher":"Citra Aditya Bakti","publisher-place":"Bandung","title":"Ilmu Hukum","type":"book"},"uris":["http://www.mendeley.com/documents/?uuid=3adba6f8-1470-4726-b2bd-40a4f940f3d7"]}],"mendeley":{"formattedCitation":"Satjipto Rahardjo, &lt;i&gt;Ilmu Hukum&lt;/i&gt; (Bandung: Citra Aditya Bakti, 1991).","plainTextFormattedCitation":"Satjipto Rahardjo, Ilmu Hukum (Bandung: Citra Aditya Bakti, 1991).","previouslyFormattedCitation":"(Rahardjo 1991)"},"properties":{"noteIndex":24},"schema":"https://github.com/citation-style-language/schema/raw/master/csl-citation.json"}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Satjipto Rahardjo, </w:t>
      </w:r>
      <w:r w:rsidRPr="00712ED2">
        <w:rPr>
          <w:rFonts w:asciiTheme="majorBidi" w:hAnsiTheme="majorBidi" w:cstheme="majorBidi"/>
          <w:i/>
          <w:noProof/>
          <w:sz w:val="20"/>
          <w:szCs w:val="20"/>
        </w:rPr>
        <w:t>Ilmu Hukum</w:t>
      </w:r>
      <w:r w:rsidRPr="00712ED2">
        <w:rPr>
          <w:rFonts w:asciiTheme="majorBidi" w:hAnsiTheme="majorBidi" w:cstheme="majorBidi"/>
          <w:noProof/>
          <w:sz w:val="20"/>
          <w:szCs w:val="20"/>
        </w:rPr>
        <w:t xml:space="preserve"> (Bandung: Citra Aditya Bakti, 1991).</w:t>
      </w:r>
      <w:r w:rsidRPr="00712ED2">
        <w:rPr>
          <w:rFonts w:asciiTheme="majorBidi" w:hAnsiTheme="majorBidi" w:cstheme="majorBidi"/>
          <w:sz w:val="20"/>
          <w:szCs w:val="20"/>
        </w:rPr>
        <w:fldChar w:fldCharType="end"/>
      </w:r>
    </w:p>
  </w:footnote>
  <w:footnote w:id="25">
    <w:p w14:paraId="5645A333" w14:textId="7ED239D4"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{"citationItems":[{"id":"ITEM-1","itemData":{"author":[{"dropping-particle":"","family":"Radhie","given":"Teuku Mohammad","non-dropping-particle":"","parse-names":false,"suffix":""}],"container-title":"Majalah Prisma No. 62 Tahun II","id":"ITEM-1","issued":{"date-parts":[["1973"]]},"page":"73","title":"Pembaharuan dan Politik Hukum dalam Rangka Pembangunan Nasional","type":"article-magazine"},"uris":["http://www.mendeley.com/documents/?uuid=a4bb0005-0571-45f0-91e3-9f5f399a9611"]}],"mendeley":{"formattedCitation":"Teuku Mohammad Radhie, “Pembaharuan Dan Politik Hukum Dalam Rangka Pembangunan Nasional,” &lt;i&gt;Majalah Prisma No. 62 Tahun II&lt;/i&gt;, 1973.","plainTextFormattedCitation":"Teuku Mohammad Radhie, “Pembaharuan Dan Politik Hukum Dalam Rangka Pembangunan Nasional,” Majalah Prisma No. 62 Tahun II, 1973.","previouslyFormattedCitation":"(Radhie 1973)"},"properties":{"noteIndex":25},"schema":"https://github.com/citation-style-language/schema/raw/master/csl-citation.json"}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Teuku Mohammad Radhie, “Pembaharuan Dan Politik Hukum Dalam Rangka Pembangunan Nasional,” </w:t>
      </w:r>
      <w:r w:rsidRPr="00712ED2">
        <w:rPr>
          <w:rFonts w:asciiTheme="majorBidi" w:hAnsiTheme="majorBidi" w:cstheme="majorBidi"/>
          <w:i/>
          <w:noProof/>
          <w:sz w:val="20"/>
          <w:szCs w:val="20"/>
        </w:rPr>
        <w:t>Majalah Prisma No. 62 Tahun II</w:t>
      </w:r>
      <w:r w:rsidRPr="00712ED2">
        <w:rPr>
          <w:rFonts w:asciiTheme="majorBidi" w:hAnsiTheme="majorBidi" w:cstheme="majorBidi"/>
          <w:noProof/>
          <w:sz w:val="20"/>
          <w:szCs w:val="20"/>
        </w:rPr>
        <w:t>, 1973.</w:t>
      </w:r>
      <w:r w:rsidRPr="00712ED2">
        <w:rPr>
          <w:rFonts w:asciiTheme="majorBidi" w:hAnsiTheme="majorBidi" w:cstheme="majorBidi"/>
          <w:sz w:val="20"/>
          <w:szCs w:val="20"/>
        </w:rPr>
        <w:fldChar w:fldCharType="end"/>
      </w:r>
    </w:p>
  </w:footnote>
  <w:footnote w:id="26">
    <w:p w14:paraId="6A6ABDFF" w14:textId="04AB0A8C"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{"citationItems":[{"id":"ITEM-1","itemData":{"author":[{"dropping-particle":"","family":"Soedarto","given":"","non-dropping-particle":"","parse-names":false,"suffix":""}],"id":"ITEM-1","issued":{"date-parts":[["1994"]]},"number-of-pages":"152","publisher":"Sinar Baru","publisher-place":"Bandung","title":"Hukum Acara Pidana dan Perkembangan Masyarakat","type":"book"},"uris":["http://www.mendeley.com/documents/?uuid=4a0359f9-8055-46b8-8fc2-be03ef484674"]}],"mendeley":{"formattedCitation":"Soedarto, &lt;i&gt;Hukum Acara Pidana Dan Perkembangan Masyarakat&lt;/i&gt; (Bandung: Sinar Baru, 1994).","plainTextFormattedCitation":"Soedarto, Hukum Acara Pidana Dan Perkembangan Masyarakat (Bandung: Sinar Baru, 1994).","previouslyFormattedCitation":"(Soedarto 1994)"},"properties":{"noteIndex":26},"schema":"https://github.com/citation-style-language/schema/raw/master/csl-citation.json"}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Soedarto, </w:t>
      </w:r>
      <w:r w:rsidRPr="00712ED2">
        <w:rPr>
          <w:rFonts w:asciiTheme="majorBidi" w:hAnsiTheme="majorBidi" w:cstheme="majorBidi"/>
          <w:i/>
          <w:noProof/>
          <w:sz w:val="20"/>
          <w:szCs w:val="20"/>
        </w:rPr>
        <w:t>Hukum Acara Pidana Dan Perkembangan Masyarakat</w:t>
      </w:r>
      <w:r w:rsidRPr="00712ED2">
        <w:rPr>
          <w:rFonts w:asciiTheme="majorBidi" w:hAnsiTheme="majorBidi" w:cstheme="majorBidi"/>
          <w:noProof/>
          <w:sz w:val="20"/>
          <w:szCs w:val="20"/>
        </w:rPr>
        <w:t xml:space="preserve"> (Bandung: Sinar Baru, 1994).</w:t>
      </w:r>
      <w:r w:rsidRPr="00712ED2">
        <w:rPr>
          <w:rFonts w:asciiTheme="majorBidi" w:hAnsiTheme="majorBidi" w:cstheme="majorBidi"/>
          <w:sz w:val="20"/>
          <w:szCs w:val="20"/>
        </w:rPr>
        <w:fldChar w:fldCharType="end"/>
      </w:r>
    </w:p>
  </w:footnote>
  <w:footnote w:id="27">
    <w:p w14:paraId="51FE10FC" w14:textId="77E05492"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{"citationItems":[{"id":"ITEM-1","itemData":{"author":[{"dropping-particle":"","family":"Mahfud","given":"Moh","non-dropping-particle":"","parse-names":false,"suffix":""}],"id":"ITEM-1","issued":{"date-parts":[["2014"]]},"publisher":"Rajawali Press","publisher-place":"Jakarta","title":"Politik Hukum di Indonesia","type":"book"},"uris":["http://www.mendeley.com/documents/?uuid=fc6ef5a5-37d4-4585-8741-1933e0209dad"]}],"mendeley":{"formattedCitation":"Mahfud, &lt;i&gt;Politik Hukum Di Indonesia&lt;/i&gt;.","plainTextFormattedCitation":"Mahfud, Politik Hukum Di Indonesia.","previouslyFormattedCitation":"(Mahfud 2014)"},"properties":{"noteIndex":27},"schema":"https://github.com/citation-style-language/schema/raw/master/csl-citation.json"}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Mahfud, </w:t>
      </w:r>
      <w:r w:rsidRPr="00712ED2">
        <w:rPr>
          <w:rFonts w:asciiTheme="majorBidi" w:hAnsiTheme="majorBidi" w:cstheme="majorBidi"/>
          <w:i/>
          <w:noProof/>
          <w:sz w:val="20"/>
          <w:szCs w:val="20"/>
        </w:rPr>
        <w:t>Politik Hukum Di Indonesia</w:t>
      </w:r>
      <w:r w:rsidRPr="00712ED2">
        <w:rPr>
          <w:rFonts w:asciiTheme="majorBidi" w:hAnsiTheme="majorBidi" w:cstheme="majorBidi"/>
          <w:noProof/>
          <w:sz w:val="20"/>
          <w:szCs w:val="20"/>
        </w:rPr>
        <w:t>.</w:t>
      </w:r>
      <w:r w:rsidRPr="00712ED2">
        <w:rPr>
          <w:rFonts w:asciiTheme="majorBidi" w:hAnsiTheme="majorBidi" w:cstheme="majorBidi"/>
          <w:sz w:val="20"/>
          <w:szCs w:val="20"/>
        </w:rPr>
        <w:fldChar w:fldCharType="end"/>
      </w:r>
    </w:p>
  </w:footnote>
  <w:footnote w:id="28">
    <w:p w14:paraId="4F73E4A1" w14:textId="137877BD"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{"citationItems":[{"id":"ITEM-1","itemData":{"author":[{"dropping-particle":"","family":"Nusantara","given":"Abdul Hakim Garuda","non-dropping-particle":"","parse-names":false,"suffix":""}],"id":"ITEM-1","issued":{"date-parts":[["1985"]]},"publisher-place":"Surabaya","title":"Politik Hukum Nasional","type":"report"},"uris":["http://www.mendeley.com/documents/?uuid=bc1b64c0-97dd-44bc-8867-bb8a3b92afc0"]}],"mendeley":{"formattedCitation":"Abdul Hakim Garuda Nusantara, “Politik Hukum Nasional” (Surabaya, 1985).","plainTextFormattedCitation":"Abdul Hakim Garuda Nusantara, “Politik Hukum Nasional” (Surabaya, 1985).","previouslyFormattedCitation":"(Nusantara 1985)"},"properties":{"noteIndex":28},"schema":"https://github.com/citation-style-language/schema/raw/master/csl-citation.json"}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Abdul Hakim Garuda Nusantara, “Politik Hukum Nasional” (Surabaya, 1985).</w:t>
      </w:r>
      <w:r w:rsidRPr="00712ED2">
        <w:rPr>
          <w:rFonts w:asciiTheme="majorBidi" w:hAnsiTheme="majorBidi" w:cstheme="majorBidi"/>
          <w:sz w:val="20"/>
          <w:szCs w:val="20"/>
        </w:rPr>
        <w:fldChar w:fldCharType="end"/>
      </w:r>
    </w:p>
  </w:footnote>
  <w:footnote w:id="29">
    <w:p w14:paraId="59D3364C" w14:textId="78147266"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{"citationItems":[{"id":"ITEM-1","itemData":{"ISBN":"9786237124795","author":[{"dropping-particle":"","family":"Gayo","given":"Ahyar Ari","non-dropping-particle":"","parse-names":false,"suffix":""}],"container-title":"BALITBANGKUMHAM Press","edition":"1","editor":[{"dropping-particle":"","family":"Muhaimin","given":"","non-dropping-particle":"","parse-names":false,"suffix":""}],"id":"ITEM-1","issued":{"date-parts":[["2020"]]},"publisher":"BALITBANGKUMHAM Press","publisher-place":"Jakarta","title":"Penerapan Hukuman Cambuk di Aceh dalam Perspektif Hak Asasi Manusia","type":"book","volume":"1"},"uris":["http://www.mendeley.com/documents/?uuid=fd0843ac-1c16-43be-afb6-63e7c84a5a04"]}],"mendeley":{"formattedCitation":"Ahyar Ari Gayo, &lt;i&gt;Penerapan Hukuman Cambuk Di Aceh Dalam Perspektif Hak Asasi Manusia&lt;/i&gt;, ed. Muhaimin, &lt;i&gt;BALITBANGKUMHAM Press&lt;/i&gt;, 1st ed., vol. 1 (Jakarta: BALITBANGKUMHAM Press, 2020).","plainTextFormattedCitation":"Ahyar Ari Gayo, Penerapan Hukuman Cambuk Di Aceh Dalam Perspektif Hak Asasi Manusia, ed. Muhaimin, BALITBANGKUMHAM Press, 1st ed., vol. 1 (Jakarta: BALITBANGKUMHAM Press, 2020).","previouslyFormattedCitation":"(Gayo 2020)"},"properties":{"noteIndex":29},"schema":"https://github.com/citation-style-language/schema/raw/master/csl-citation.json"}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Ahyar Ari Gayo, </w:t>
      </w:r>
      <w:r w:rsidRPr="00712ED2">
        <w:rPr>
          <w:rFonts w:asciiTheme="majorBidi" w:hAnsiTheme="majorBidi" w:cstheme="majorBidi"/>
          <w:i/>
          <w:noProof/>
          <w:sz w:val="20"/>
          <w:szCs w:val="20"/>
        </w:rPr>
        <w:t>Penerapan Hukuman Cambuk Di Aceh Dalam Perspektif Hak Asasi Manusia</w:t>
      </w:r>
      <w:r w:rsidRPr="00712ED2">
        <w:rPr>
          <w:rFonts w:asciiTheme="majorBidi" w:hAnsiTheme="majorBidi" w:cstheme="majorBidi"/>
          <w:noProof/>
          <w:sz w:val="20"/>
          <w:szCs w:val="20"/>
        </w:rPr>
        <w:t xml:space="preserve">, ed. Muhaimin, </w:t>
      </w:r>
      <w:r w:rsidRPr="00712ED2">
        <w:rPr>
          <w:rFonts w:asciiTheme="majorBidi" w:hAnsiTheme="majorBidi" w:cstheme="majorBidi"/>
          <w:i/>
          <w:noProof/>
          <w:sz w:val="20"/>
          <w:szCs w:val="20"/>
        </w:rPr>
        <w:t>BALITBANGKUMHAM Press</w:t>
      </w:r>
      <w:r w:rsidRPr="00712ED2">
        <w:rPr>
          <w:rFonts w:asciiTheme="majorBidi" w:hAnsiTheme="majorBidi" w:cstheme="majorBidi"/>
          <w:noProof/>
          <w:sz w:val="20"/>
          <w:szCs w:val="20"/>
        </w:rPr>
        <w:t>, 1st ed., vol. 1 (Jakarta: BALITBANGKUMHAM Press, 2020).</w:t>
      </w:r>
      <w:r w:rsidRPr="00712ED2">
        <w:rPr>
          <w:rFonts w:asciiTheme="majorBidi" w:hAnsiTheme="majorBidi" w:cstheme="majorBidi"/>
          <w:sz w:val="20"/>
          <w:szCs w:val="20"/>
        </w:rPr>
        <w:fldChar w:fldCharType="end"/>
      </w:r>
    </w:p>
  </w:footnote>
  <w:footnote w:id="30">
    <w:p w14:paraId="73ADEF9D" w14:textId="2FEE2C85"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{"citationItems":[{"id":"ITEM-1","itemData":{"ISSN":"1410-5632","abstract":"Maraknya tindak pidana korupsi, terutama yang dilakukan oleh para penyelenggara negara, semakin membuat masyarakat penuh dengan stereotip stigmatis. Tuntutan terhadap keseriusan Pemerintah dalam penanggulangan tindak pidana korupsi di Indonesia, sepertinya akhir-akhir ini semakin marak, lebih-lebih dengan mencuatnya pemberitaan terkait dengan beberapa oknum Penegak Hukum yang dituding melakukan perbuatan tercela, melakukan pemerasan dan penyalahgunaan wewenang. Sebagian masyarakat, masih menganggap hanya dengan tindakan represif korupsi dapat ditanggulangi, karena menurut pemahaman mereka tindakan represif tersebut dapat memberikan daya tangkal terhadap praktik atau perilaku koruptif. Kondisi sosial, ekonomi dan politik saat ini telah memberi ruang gerak korupsi secara masif, sistematis dan terstruktur di berbagai lini kehidupan, termasuk pada lembaga-lembaga Negara, lembaga-lembaga Pemerintah, Badan Usaha Milik Negara atau Badan Usaha Milik Daerah, lembaga Perbankan dan Jasa Keuangan serta diberbagai sektor kehidupan masyarakat lainnya. Perumusan masalah dalam karya ilmiah ini adalah “Mengapa penyelesaian kasus korupsi saat ini di Indonesia tidak menggunakan restoratif justice?” Metode adalah pendekatan yuridis normatif. Kebijakan pemberantasan tindak pidana korupsi yang ditempuh dengan kebijakan integral-sistemik, tujuannya agar adanya keterpaduan antara kebijakan penanggulangan kejahatan dengan keseluruhan kebijakan pembangunan sistem. pemberantasan tindak pidana korupsi yang ditempuh dengan kebijakan integral-sistemik, tujuannya agar adanya keterpaduan antara kebijakan penanggulangan kejahatan dengan keseluruhan kebijakan pembangunan sistem. Langkah integral dan sistemik dalam pemberantasan korupsi, baik secara represif dan preventif perlu disinergikan, mengingat tindakan represif saja dalam menghadapi karakteristik dan dimensi korupsi belum teruji efektivitasnya.","author":[{"dropping-particle":"","family":"Narindrani","given":"Fuzi","non-dropping-particle":"","parse-names":false,"suffix":""}],"container-title":"Jurnal Penelitian Hukum De Jure","id":"ITEM-1","issue":"4","issued":{"date-parts":[["2020"]]},"page":"605-617","title":"Penyelesaian Korupsi Dengan Menggunakan Restoratif Justice (Corruption Settlement Using Justice Restoratives)","type":"article-journal","volume":"20"},"uris":["http://www.mendeley.com/documents/?uuid=e84fae4d-b442-4331-bb05-2bba3cb2c506"]}],"mendeley":{"formattedCitation":"Fuzi Narindrani, “Penyelesaian Korupsi Dengan Menggunakan Restoratif Justice (Corruption Settlement Using Justice Restoratives),” &lt;i&gt;Jurnal Penelitian Hukum De Jure&lt;/i&gt; 20, no. 4 (2020): 605–17.","plainTextFormattedCitation":"Fuzi Narindrani, “Penyelesaian Korupsi Dengan Menggunakan Restoratif Justice (Corruption Settlement Using Justice Restoratives),” Jurnal Penelitian Hukum De Jure 20, no. 4 (2020): 605–17.","previouslyFormattedCitation":"(Narindrani 2020)"},"properties":{"noteIndex":30},"schema":"https://github.com/citation-style-language/schema/raw/master/csl-citation.json"}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Fuzi Narindrani, “Penyelesaian Korupsi Dengan Menggunakan Restoratif Justice (Corruption Settlement Using Justice Restoratives),” </w:t>
      </w:r>
      <w:r w:rsidRPr="00712ED2">
        <w:rPr>
          <w:rFonts w:asciiTheme="majorBidi" w:hAnsiTheme="majorBidi" w:cstheme="majorBidi"/>
          <w:i/>
          <w:noProof/>
          <w:sz w:val="20"/>
          <w:szCs w:val="20"/>
        </w:rPr>
        <w:t>Jurnal Penelitian Hukum De Jure</w:t>
      </w:r>
      <w:r w:rsidRPr="00712ED2">
        <w:rPr>
          <w:rFonts w:asciiTheme="majorBidi" w:hAnsiTheme="majorBidi" w:cstheme="majorBidi"/>
          <w:noProof/>
          <w:sz w:val="20"/>
          <w:szCs w:val="20"/>
        </w:rPr>
        <w:t xml:space="preserve"> 20, no. 4 (2020): 605–17.</w:t>
      </w:r>
      <w:r w:rsidRPr="00712ED2">
        <w:rPr>
          <w:rFonts w:asciiTheme="majorBidi" w:hAnsiTheme="majorBidi" w:cstheme="majorBidi"/>
          <w:sz w:val="20"/>
          <w:szCs w:val="20"/>
        </w:rPr>
        <w:fldChar w:fldCharType="end"/>
      </w:r>
    </w:p>
  </w:footnote>
  <w:footnote w:id="31">
    <w:p w14:paraId="2590F1EB" w14:textId="006A119A" w:rsidR="00712ED2" w:rsidRPr="00712ED2" w:rsidRDefault="00712ED2" w:rsidP="00712ED2">
      <w:pPr>
        <w:pStyle w:val="FootnoteText"/>
        <w:spacing w:before="0" w:beforeAutospacing="0" w:after="0" w:afterAutospacing="0"/>
        <w:ind w:left="284" w:hanging="284"/>
        <w:rPr>
          <w:rFonts w:asciiTheme="majorBidi" w:hAnsiTheme="majorBidi" w:cstheme="majorBidi"/>
          <w:sz w:val="20"/>
          <w:szCs w:val="20"/>
          <w:lang w:val="en-US"/>
        </w:rPr>
      </w:pPr>
      <w:r w:rsidRPr="00712ED2">
        <w:rPr>
          <w:rStyle w:val="FootnoteReference"/>
          <w:rFonts w:asciiTheme="majorBidi" w:hAnsiTheme="majorBidi" w:cstheme="majorBidi"/>
          <w:sz w:val="20"/>
          <w:szCs w:val="20"/>
        </w:rPr>
        <w:footnoteRef/>
      </w:r>
      <w:r w:rsidRPr="00712ED2">
        <w:rPr>
          <w:rFonts w:asciiTheme="majorBidi" w:hAnsiTheme="majorBidi" w:cstheme="majorBidi"/>
          <w:sz w:val="20"/>
          <w:szCs w:val="20"/>
        </w:rPr>
        <w:t xml:space="preserve"> </w:t>
      </w:r>
      <w:r w:rsidRPr="00712ED2">
        <w:rPr>
          <w:rFonts w:asciiTheme="majorBidi" w:hAnsiTheme="majorBidi" w:cstheme="majorBidi"/>
          <w:sz w:val="20"/>
          <w:szCs w:val="20"/>
        </w:rPr>
        <w:fldChar w:fldCharType="begin" w:fldLock="1"/>
      </w:r>
      <w:r w:rsidRPr="00712ED2">
        <w:rPr>
          <w:rFonts w:asciiTheme="majorBidi" w:hAnsiTheme="majorBidi" w:cstheme="majorBidi"/>
          <w:sz w:val="20"/>
          <w:szCs w:val="20"/>
        </w:rPr>
        <w:instrText>ADDIN CSL_CITATION {"citationItems":[{"id":"ITEM-1","itemData":{"ISBN":"9786232182691","author":[{"dropping-particle":"","family":"Abubakar","given":"Ali","non-dropping-particle":"","parse-names":false,"suffix":""},{"dropping-particle":"","family":"Lubis","given":"Zulkarnain","non-dropping-particle":"","parse-names":false,"suffix":""}],"edition":"I","id":"ITEM-1","issued":{"date-parts":[["2019"]]},"number-of-pages":"258","publisher":"Prenada Media Group","publisher-place":"Jakarta","title":"Hukum jinayat Aceh","type":"book"},"uris":["http://www.mendeley.com/documents/?uuid=2cd37b6a-f9c0-4ae5-bbf7-0c4c536664a3"]}],"mendeley":{"formattedCitation":"Ali Abubakar and Zulkarnain Lubis, &lt;i&gt;Hukum Jinayat Aceh&lt;/i&gt;, I (Jakarta: Prenada Media Group, 2019).","plainTextFormattedCitation":"Ali Abubakar and Zulkarnain Lubis, Hukum Jinayat Aceh, I (Jakarta: Prenada Media Group, 2019).","previouslyFormattedCitation":"(Abubakar and Lubis 2019)"},"properties":{"noteIndex":31},"schema":"https://github.com/citation-style-language/schema/raw/master/csl-citation.json"}</w:instrText>
      </w:r>
      <w:r w:rsidRPr="00712ED2">
        <w:rPr>
          <w:rFonts w:asciiTheme="majorBidi" w:hAnsiTheme="majorBidi" w:cstheme="majorBidi"/>
          <w:sz w:val="20"/>
          <w:szCs w:val="20"/>
        </w:rPr>
        <w:fldChar w:fldCharType="separate"/>
      </w:r>
      <w:r w:rsidRPr="00712ED2">
        <w:rPr>
          <w:rFonts w:asciiTheme="majorBidi" w:hAnsiTheme="majorBidi" w:cstheme="majorBidi"/>
          <w:noProof/>
          <w:sz w:val="20"/>
          <w:szCs w:val="20"/>
        </w:rPr>
        <w:t xml:space="preserve">Ali Abubakar and Zulkarnain Lubis, </w:t>
      </w:r>
      <w:r w:rsidRPr="00712ED2">
        <w:rPr>
          <w:rFonts w:asciiTheme="majorBidi" w:hAnsiTheme="majorBidi" w:cstheme="majorBidi"/>
          <w:i/>
          <w:noProof/>
          <w:sz w:val="20"/>
          <w:szCs w:val="20"/>
        </w:rPr>
        <w:t>Hukum Jinayat Aceh</w:t>
      </w:r>
      <w:r w:rsidRPr="00712ED2">
        <w:rPr>
          <w:rFonts w:asciiTheme="majorBidi" w:hAnsiTheme="majorBidi" w:cstheme="majorBidi"/>
          <w:noProof/>
          <w:sz w:val="20"/>
          <w:szCs w:val="20"/>
        </w:rPr>
        <w:t>, I (Jakarta: Prenada Media Group, 2019).</w:t>
      </w:r>
      <w:r w:rsidRPr="00712ED2">
        <w:rPr>
          <w:rFonts w:asciiTheme="majorBidi" w:hAnsiTheme="majorBidi" w:cstheme="majorBidi"/>
          <w:sz w:val="20"/>
          <w:szCs w:val="20"/>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20AE7"/>
    <w:multiLevelType w:val="hybridMultilevel"/>
    <w:tmpl w:val="D7BCE676"/>
    <w:lvl w:ilvl="0" w:tplc="AE7C674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15:restartNumberingAfterBreak="0">
    <w:nsid w:val="0BDA4EF4"/>
    <w:multiLevelType w:val="hybridMultilevel"/>
    <w:tmpl w:val="FE768C4E"/>
    <w:lvl w:ilvl="0" w:tplc="2BB63D48">
      <w:start w:val="1"/>
      <w:numFmt w:val="decimal"/>
      <w:lvlText w:val="(%1)"/>
      <w:lvlJc w:val="left"/>
      <w:pPr>
        <w:ind w:left="1069" w:hanging="360"/>
      </w:pPr>
      <w:rPr>
        <w:rFonts w:ascii="Times New Roman" w:hAnsi="Times New Roman" w:cs="Times New Roman" w:hint="default"/>
        <w:sz w:val="24"/>
        <w:szCs w:val="24"/>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2" w15:restartNumberingAfterBreak="0">
    <w:nsid w:val="36D30C64"/>
    <w:multiLevelType w:val="multilevel"/>
    <w:tmpl w:val="35DA4768"/>
    <w:lvl w:ilvl="0">
      <w:start w:val="1"/>
      <w:numFmt w:val="low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 w15:restartNumberingAfterBreak="0">
    <w:nsid w:val="3A9B1E1C"/>
    <w:multiLevelType w:val="hybridMultilevel"/>
    <w:tmpl w:val="BC00EC90"/>
    <w:lvl w:ilvl="0" w:tplc="0A3AB040">
      <w:start w:val="1"/>
      <w:numFmt w:val="bullet"/>
      <w:lvlText w:val="•"/>
      <w:lvlJc w:val="left"/>
      <w:pPr>
        <w:tabs>
          <w:tab w:val="num" w:pos="720"/>
        </w:tabs>
        <w:ind w:left="720" w:hanging="360"/>
      </w:pPr>
      <w:rPr>
        <w:rFonts w:ascii="Arial" w:hAnsi="Arial" w:hint="default"/>
      </w:rPr>
    </w:lvl>
    <w:lvl w:ilvl="1" w:tplc="262CB51C" w:tentative="1">
      <w:start w:val="1"/>
      <w:numFmt w:val="bullet"/>
      <w:lvlText w:val="•"/>
      <w:lvlJc w:val="left"/>
      <w:pPr>
        <w:tabs>
          <w:tab w:val="num" w:pos="1440"/>
        </w:tabs>
        <w:ind w:left="1440" w:hanging="360"/>
      </w:pPr>
      <w:rPr>
        <w:rFonts w:ascii="Arial" w:hAnsi="Arial" w:hint="default"/>
      </w:rPr>
    </w:lvl>
    <w:lvl w:ilvl="2" w:tplc="9C04C206" w:tentative="1">
      <w:start w:val="1"/>
      <w:numFmt w:val="bullet"/>
      <w:lvlText w:val="•"/>
      <w:lvlJc w:val="left"/>
      <w:pPr>
        <w:tabs>
          <w:tab w:val="num" w:pos="2160"/>
        </w:tabs>
        <w:ind w:left="2160" w:hanging="360"/>
      </w:pPr>
      <w:rPr>
        <w:rFonts w:ascii="Arial" w:hAnsi="Arial" w:hint="default"/>
      </w:rPr>
    </w:lvl>
    <w:lvl w:ilvl="3" w:tplc="F30EE696" w:tentative="1">
      <w:start w:val="1"/>
      <w:numFmt w:val="bullet"/>
      <w:lvlText w:val="•"/>
      <w:lvlJc w:val="left"/>
      <w:pPr>
        <w:tabs>
          <w:tab w:val="num" w:pos="2880"/>
        </w:tabs>
        <w:ind w:left="2880" w:hanging="360"/>
      </w:pPr>
      <w:rPr>
        <w:rFonts w:ascii="Arial" w:hAnsi="Arial" w:hint="default"/>
      </w:rPr>
    </w:lvl>
    <w:lvl w:ilvl="4" w:tplc="9D52D6B4" w:tentative="1">
      <w:start w:val="1"/>
      <w:numFmt w:val="bullet"/>
      <w:lvlText w:val="•"/>
      <w:lvlJc w:val="left"/>
      <w:pPr>
        <w:tabs>
          <w:tab w:val="num" w:pos="3600"/>
        </w:tabs>
        <w:ind w:left="3600" w:hanging="360"/>
      </w:pPr>
      <w:rPr>
        <w:rFonts w:ascii="Arial" w:hAnsi="Arial" w:hint="default"/>
      </w:rPr>
    </w:lvl>
    <w:lvl w:ilvl="5" w:tplc="5A62E468" w:tentative="1">
      <w:start w:val="1"/>
      <w:numFmt w:val="bullet"/>
      <w:lvlText w:val="•"/>
      <w:lvlJc w:val="left"/>
      <w:pPr>
        <w:tabs>
          <w:tab w:val="num" w:pos="4320"/>
        </w:tabs>
        <w:ind w:left="4320" w:hanging="360"/>
      </w:pPr>
      <w:rPr>
        <w:rFonts w:ascii="Arial" w:hAnsi="Arial" w:hint="default"/>
      </w:rPr>
    </w:lvl>
    <w:lvl w:ilvl="6" w:tplc="06A68F82" w:tentative="1">
      <w:start w:val="1"/>
      <w:numFmt w:val="bullet"/>
      <w:lvlText w:val="•"/>
      <w:lvlJc w:val="left"/>
      <w:pPr>
        <w:tabs>
          <w:tab w:val="num" w:pos="5040"/>
        </w:tabs>
        <w:ind w:left="5040" w:hanging="360"/>
      </w:pPr>
      <w:rPr>
        <w:rFonts w:ascii="Arial" w:hAnsi="Arial" w:hint="default"/>
      </w:rPr>
    </w:lvl>
    <w:lvl w:ilvl="7" w:tplc="0890CE6A" w:tentative="1">
      <w:start w:val="1"/>
      <w:numFmt w:val="bullet"/>
      <w:lvlText w:val="•"/>
      <w:lvlJc w:val="left"/>
      <w:pPr>
        <w:tabs>
          <w:tab w:val="num" w:pos="5760"/>
        </w:tabs>
        <w:ind w:left="5760" w:hanging="360"/>
      </w:pPr>
      <w:rPr>
        <w:rFonts w:ascii="Arial" w:hAnsi="Arial" w:hint="default"/>
      </w:rPr>
    </w:lvl>
    <w:lvl w:ilvl="8" w:tplc="48F8D3F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CBD5870"/>
    <w:multiLevelType w:val="multilevel"/>
    <w:tmpl w:val="46B622C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F0B52AF"/>
    <w:multiLevelType w:val="multilevel"/>
    <w:tmpl w:val="700AD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56F650D"/>
    <w:multiLevelType w:val="hybridMultilevel"/>
    <w:tmpl w:val="0FDCC0D8"/>
    <w:lvl w:ilvl="0" w:tplc="0421000F">
      <w:start w:val="1"/>
      <w:numFmt w:val="decimal"/>
      <w:lvlText w:val="%1."/>
      <w:lvlJc w:val="left"/>
      <w:pPr>
        <w:ind w:left="720" w:hanging="360"/>
      </w:pPr>
      <w:rPr>
        <w:rFonts w:ascii="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D750AB7"/>
    <w:multiLevelType w:val="hybridMultilevel"/>
    <w:tmpl w:val="6510859C"/>
    <w:lvl w:ilvl="0" w:tplc="5EC4192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15:restartNumberingAfterBreak="0">
    <w:nsid w:val="6A2E3695"/>
    <w:multiLevelType w:val="multilevel"/>
    <w:tmpl w:val="70FC006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9" w15:restartNumberingAfterBreak="0">
    <w:nsid w:val="763349EB"/>
    <w:multiLevelType w:val="hybridMultilevel"/>
    <w:tmpl w:val="FFFFFFFF"/>
    <w:lvl w:ilvl="0" w:tplc="FFFFFFFF">
      <w:start w:val="1"/>
      <w:numFmt w:val="lowerLetter"/>
      <w:lvlText w:val="%1."/>
      <w:lvlJc w:val="left"/>
      <w:pPr>
        <w:ind w:left="1636" w:hanging="360"/>
      </w:pPr>
      <w:rPr>
        <w:rFonts w:cs="Times New Roman"/>
      </w:rPr>
    </w:lvl>
    <w:lvl w:ilvl="1" w:tplc="FFFFFFFF">
      <w:start w:val="1"/>
      <w:numFmt w:val="lowerLetter"/>
      <w:lvlText w:val="%2."/>
      <w:lvlJc w:val="left"/>
      <w:pPr>
        <w:ind w:left="2356" w:hanging="360"/>
      </w:pPr>
      <w:rPr>
        <w:rFonts w:cs="Times New Roman"/>
      </w:rPr>
    </w:lvl>
    <w:lvl w:ilvl="2" w:tplc="FFFFFFFF">
      <w:start w:val="1"/>
      <w:numFmt w:val="lowerRoman"/>
      <w:lvlText w:val="%3."/>
      <w:lvlJc w:val="right"/>
      <w:pPr>
        <w:ind w:left="3076" w:hanging="180"/>
      </w:pPr>
      <w:rPr>
        <w:rFonts w:cs="Times New Roman"/>
      </w:rPr>
    </w:lvl>
    <w:lvl w:ilvl="3" w:tplc="FFFFFFFF">
      <w:start w:val="1"/>
      <w:numFmt w:val="decimal"/>
      <w:lvlText w:val="%4."/>
      <w:lvlJc w:val="left"/>
      <w:pPr>
        <w:ind w:left="3796" w:hanging="360"/>
      </w:pPr>
      <w:rPr>
        <w:rFonts w:cs="Times New Roman"/>
      </w:rPr>
    </w:lvl>
    <w:lvl w:ilvl="4" w:tplc="FFFFFFFF">
      <w:start w:val="1"/>
      <w:numFmt w:val="lowerLetter"/>
      <w:lvlText w:val="%5."/>
      <w:lvlJc w:val="left"/>
      <w:pPr>
        <w:ind w:left="4516" w:hanging="360"/>
      </w:pPr>
      <w:rPr>
        <w:rFonts w:cs="Times New Roman"/>
      </w:rPr>
    </w:lvl>
    <w:lvl w:ilvl="5" w:tplc="FFFFFFFF">
      <w:start w:val="1"/>
      <w:numFmt w:val="lowerRoman"/>
      <w:lvlText w:val="%6."/>
      <w:lvlJc w:val="right"/>
      <w:pPr>
        <w:ind w:left="5236" w:hanging="180"/>
      </w:pPr>
      <w:rPr>
        <w:rFonts w:cs="Times New Roman"/>
      </w:rPr>
    </w:lvl>
    <w:lvl w:ilvl="6" w:tplc="FFFFFFFF">
      <w:start w:val="1"/>
      <w:numFmt w:val="decimal"/>
      <w:lvlText w:val="%7."/>
      <w:lvlJc w:val="left"/>
      <w:pPr>
        <w:ind w:left="5956" w:hanging="360"/>
      </w:pPr>
      <w:rPr>
        <w:rFonts w:cs="Times New Roman"/>
      </w:rPr>
    </w:lvl>
    <w:lvl w:ilvl="7" w:tplc="FFFFFFFF">
      <w:start w:val="1"/>
      <w:numFmt w:val="lowerLetter"/>
      <w:lvlText w:val="%8."/>
      <w:lvlJc w:val="left"/>
      <w:pPr>
        <w:ind w:left="6676" w:hanging="360"/>
      </w:pPr>
      <w:rPr>
        <w:rFonts w:cs="Times New Roman"/>
      </w:rPr>
    </w:lvl>
    <w:lvl w:ilvl="8" w:tplc="FFFFFFFF">
      <w:start w:val="1"/>
      <w:numFmt w:val="lowerRoman"/>
      <w:lvlText w:val="%9."/>
      <w:lvlJc w:val="right"/>
      <w:pPr>
        <w:ind w:left="7396" w:hanging="180"/>
      </w:pPr>
      <w:rPr>
        <w:rFonts w:cs="Times New Roman"/>
      </w:rPr>
    </w:lvl>
  </w:abstractNum>
  <w:num w:numId="1" w16cid:durableId="15310647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333350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0353433">
    <w:abstractNumId w:val="9"/>
  </w:num>
  <w:num w:numId="4" w16cid:durableId="600068954">
    <w:abstractNumId w:val="6"/>
  </w:num>
  <w:num w:numId="5" w16cid:durableId="1487094029">
    <w:abstractNumId w:val="3"/>
  </w:num>
  <w:num w:numId="6" w16cid:durableId="13694471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5861226">
    <w:abstractNumId w:val="5"/>
  </w:num>
  <w:num w:numId="8" w16cid:durableId="286934285">
    <w:abstractNumId w:val="0"/>
  </w:num>
  <w:num w:numId="9" w16cid:durableId="911039747">
    <w:abstractNumId w:val="7"/>
  </w:num>
  <w:num w:numId="10" w16cid:durableId="18787341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69A"/>
    <w:rsid w:val="00015BFA"/>
    <w:rsid w:val="00037D10"/>
    <w:rsid w:val="00053E82"/>
    <w:rsid w:val="000801D3"/>
    <w:rsid w:val="000B0A7B"/>
    <w:rsid w:val="000B1040"/>
    <w:rsid w:val="000D4F24"/>
    <w:rsid w:val="000E262D"/>
    <w:rsid w:val="001030A6"/>
    <w:rsid w:val="00105938"/>
    <w:rsid w:val="0011706B"/>
    <w:rsid w:val="001474DE"/>
    <w:rsid w:val="001A0F1F"/>
    <w:rsid w:val="001A2023"/>
    <w:rsid w:val="001A2F6F"/>
    <w:rsid w:val="001B6426"/>
    <w:rsid w:val="001C695F"/>
    <w:rsid w:val="001D6BE2"/>
    <w:rsid w:val="001E2044"/>
    <w:rsid w:val="001E415D"/>
    <w:rsid w:val="002147CC"/>
    <w:rsid w:val="0022604B"/>
    <w:rsid w:val="0024317A"/>
    <w:rsid w:val="002475B0"/>
    <w:rsid w:val="00253C1D"/>
    <w:rsid w:val="002A3841"/>
    <w:rsid w:val="002B13C5"/>
    <w:rsid w:val="00310049"/>
    <w:rsid w:val="003101F6"/>
    <w:rsid w:val="00322AF7"/>
    <w:rsid w:val="00345FEF"/>
    <w:rsid w:val="003611A5"/>
    <w:rsid w:val="00376218"/>
    <w:rsid w:val="003B05CB"/>
    <w:rsid w:val="003F2731"/>
    <w:rsid w:val="003F7AF7"/>
    <w:rsid w:val="004022F6"/>
    <w:rsid w:val="00436866"/>
    <w:rsid w:val="00440B91"/>
    <w:rsid w:val="004517F3"/>
    <w:rsid w:val="00455990"/>
    <w:rsid w:val="00475310"/>
    <w:rsid w:val="00487B43"/>
    <w:rsid w:val="00490952"/>
    <w:rsid w:val="00490A10"/>
    <w:rsid w:val="00493935"/>
    <w:rsid w:val="004B2FE7"/>
    <w:rsid w:val="004B3C5C"/>
    <w:rsid w:val="004B6420"/>
    <w:rsid w:val="004C4407"/>
    <w:rsid w:val="004C7DCC"/>
    <w:rsid w:val="004E1101"/>
    <w:rsid w:val="004F323C"/>
    <w:rsid w:val="004F33F5"/>
    <w:rsid w:val="00503471"/>
    <w:rsid w:val="00506A2F"/>
    <w:rsid w:val="005256DF"/>
    <w:rsid w:val="00530F0C"/>
    <w:rsid w:val="00563103"/>
    <w:rsid w:val="005660C8"/>
    <w:rsid w:val="005B12BC"/>
    <w:rsid w:val="005B3CC6"/>
    <w:rsid w:val="005D069A"/>
    <w:rsid w:val="005D3284"/>
    <w:rsid w:val="005D70C8"/>
    <w:rsid w:val="006400D9"/>
    <w:rsid w:val="00641249"/>
    <w:rsid w:val="006471B6"/>
    <w:rsid w:val="00652C37"/>
    <w:rsid w:val="0066483D"/>
    <w:rsid w:val="006721D3"/>
    <w:rsid w:val="00681363"/>
    <w:rsid w:val="006B0986"/>
    <w:rsid w:val="006D6D0D"/>
    <w:rsid w:val="006D71D5"/>
    <w:rsid w:val="006E663E"/>
    <w:rsid w:val="00712ED2"/>
    <w:rsid w:val="007147F1"/>
    <w:rsid w:val="0073019F"/>
    <w:rsid w:val="0073444A"/>
    <w:rsid w:val="007B1B5F"/>
    <w:rsid w:val="007C2641"/>
    <w:rsid w:val="007C28B9"/>
    <w:rsid w:val="007C362B"/>
    <w:rsid w:val="007E591F"/>
    <w:rsid w:val="008014F9"/>
    <w:rsid w:val="008015D9"/>
    <w:rsid w:val="00892BC6"/>
    <w:rsid w:val="008A2993"/>
    <w:rsid w:val="008C17F3"/>
    <w:rsid w:val="009267FD"/>
    <w:rsid w:val="009305D8"/>
    <w:rsid w:val="009478D0"/>
    <w:rsid w:val="009876D6"/>
    <w:rsid w:val="0099334E"/>
    <w:rsid w:val="009A0501"/>
    <w:rsid w:val="009E2FC5"/>
    <w:rsid w:val="009E64B5"/>
    <w:rsid w:val="00A008B2"/>
    <w:rsid w:val="00A02C4B"/>
    <w:rsid w:val="00A1708E"/>
    <w:rsid w:val="00A5168E"/>
    <w:rsid w:val="00A60EFB"/>
    <w:rsid w:val="00A674DE"/>
    <w:rsid w:val="00A72C6A"/>
    <w:rsid w:val="00A83B10"/>
    <w:rsid w:val="00AE3F04"/>
    <w:rsid w:val="00B01E3D"/>
    <w:rsid w:val="00B253E8"/>
    <w:rsid w:val="00B36618"/>
    <w:rsid w:val="00B87705"/>
    <w:rsid w:val="00BA232A"/>
    <w:rsid w:val="00BB211C"/>
    <w:rsid w:val="00BC2851"/>
    <w:rsid w:val="00BC3058"/>
    <w:rsid w:val="00BC734D"/>
    <w:rsid w:val="00BE6E30"/>
    <w:rsid w:val="00C30D23"/>
    <w:rsid w:val="00C51E6E"/>
    <w:rsid w:val="00C56408"/>
    <w:rsid w:val="00C82E66"/>
    <w:rsid w:val="00C94457"/>
    <w:rsid w:val="00C9449D"/>
    <w:rsid w:val="00CC581D"/>
    <w:rsid w:val="00CC7523"/>
    <w:rsid w:val="00CE377C"/>
    <w:rsid w:val="00CE706B"/>
    <w:rsid w:val="00D2323F"/>
    <w:rsid w:val="00D44C05"/>
    <w:rsid w:val="00D61B51"/>
    <w:rsid w:val="00D75314"/>
    <w:rsid w:val="00D9578C"/>
    <w:rsid w:val="00DA7668"/>
    <w:rsid w:val="00DD0834"/>
    <w:rsid w:val="00DD3F05"/>
    <w:rsid w:val="00DE13B6"/>
    <w:rsid w:val="00DE1E2C"/>
    <w:rsid w:val="00E03710"/>
    <w:rsid w:val="00E12F83"/>
    <w:rsid w:val="00E15A7D"/>
    <w:rsid w:val="00E7457B"/>
    <w:rsid w:val="00E91ABB"/>
    <w:rsid w:val="00EA1083"/>
    <w:rsid w:val="00EB72EA"/>
    <w:rsid w:val="00ED3E08"/>
    <w:rsid w:val="00F06520"/>
    <w:rsid w:val="00F071A1"/>
    <w:rsid w:val="00F64AF3"/>
    <w:rsid w:val="00F75ABC"/>
    <w:rsid w:val="00F779AE"/>
    <w:rsid w:val="00F82121"/>
    <w:rsid w:val="00FA5D58"/>
    <w:rsid w:val="00FA7F76"/>
    <w:rsid w:val="00FE7BB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48F91"/>
  <w15:docId w15:val="{DB6CCC8D-8BF7-4505-87B2-62A0E938C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069A"/>
    <w:pPr>
      <w:spacing w:before="100" w:beforeAutospacing="1" w:after="100" w:afterAutospacing="1" w:line="273" w:lineRule="auto"/>
    </w:pPr>
    <w:rPr>
      <w:rFonts w:ascii="Calibri" w:eastAsia="Times New Roman" w:hAnsi="Calibri" w:cs="Times New Roman"/>
      <w:sz w:val="24"/>
      <w:szCs w:val="24"/>
      <w:lang w:eastAsia="id-ID"/>
    </w:rPr>
  </w:style>
  <w:style w:type="paragraph" w:styleId="Heading1">
    <w:name w:val="heading 1"/>
    <w:basedOn w:val="Normal"/>
    <w:next w:val="Normal"/>
    <w:link w:val="Heading1Char"/>
    <w:uiPriority w:val="9"/>
    <w:qFormat/>
    <w:rsid w:val="00506A2F"/>
    <w:pPr>
      <w:keepNext/>
      <w:keepLines/>
      <w:spacing w:before="240" w:beforeAutospacing="0" w:after="0" w:afterAutospacing="0" w:line="276" w:lineRule="auto"/>
      <w:outlineLvl w:val="0"/>
    </w:pPr>
    <w:rPr>
      <w:rFonts w:ascii="Times New Roman" w:hAnsi="Cambria"/>
      <w:sz w:val="32"/>
      <w:szCs w:val="32"/>
      <w:lang w:val="en-US" w:eastAsia="en-US"/>
      <w14:ligatures w14:val="standardContextual"/>
    </w:rPr>
  </w:style>
  <w:style w:type="paragraph" w:styleId="Heading2">
    <w:name w:val="heading 2"/>
    <w:basedOn w:val="Normal"/>
    <w:next w:val="Normal"/>
    <w:link w:val="Heading2Char"/>
    <w:uiPriority w:val="9"/>
    <w:unhideWhenUsed/>
    <w:qFormat/>
    <w:rsid w:val="00D44C0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44C05"/>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 Char,Footnote Text Char Char1 Char,Footnote Text Char1 Char Char Char,Footnote Text Char Char1 Char Char Char,Footnote Text Char Char2 Char,Footnote Text Char1 Char1,Footnote Text Char Char1 Char1"/>
    <w:basedOn w:val="Normal"/>
    <w:link w:val="FootnoteTextChar"/>
    <w:uiPriority w:val="99"/>
    <w:unhideWhenUsed/>
    <w:rsid w:val="005D069A"/>
    <w:pPr>
      <w:spacing w:line="240" w:lineRule="auto"/>
    </w:pPr>
  </w:style>
  <w:style w:type="character" w:customStyle="1" w:styleId="FootnoteTextChar">
    <w:name w:val="Footnote Text Char"/>
    <w:aliases w:val="Footnote Text Char1 Char Char,Footnote Text Char Char1 Char Char,Footnote Text Char1 Char Char Char Char,Footnote Text Char Char1 Char Char Char Char,Footnote Text Char Char2 Char Char,Footnote Text Char1 Char1 Char"/>
    <w:basedOn w:val="DefaultParagraphFont"/>
    <w:link w:val="FootnoteText"/>
    <w:uiPriority w:val="99"/>
    <w:rsid w:val="005D069A"/>
    <w:rPr>
      <w:rFonts w:ascii="Calibri" w:eastAsia="Times New Roman" w:hAnsi="Calibri" w:cs="Times New Roman"/>
      <w:sz w:val="24"/>
      <w:szCs w:val="24"/>
      <w:lang w:eastAsia="id-ID"/>
    </w:rPr>
  </w:style>
  <w:style w:type="paragraph" w:styleId="ListParagraph">
    <w:name w:val="List Paragraph"/>
    <w:aliases w:val="Body of text"/>
    <w:basedOn w:val="Normal"/>
    <w:link w:val="ListParagraphChar"/>
    <w:uiPriority w:val="34"/>
    <w:qFormat/>
    <w:rsid w:val="005D069A"/>
  </w:style>
  <w:style w:type="character" w:customStyle="1" w:styleId="16">
    <w:name w:val="16"/>
    <w:basedOn w:val="DefaultParagraphFont"/>
    <w:rsid w:val="005D069A"/>
    <w:rPr>
      <w:rFonts w:ascii="Rockwell-Italic" w:hAnsi="Calibri" w:cs="Rockwell-Italic" w:hint="default"/>
      <w:i/>
      <w:color w:val="FFFFFF"/>
    </w:rPr>
  </w:style>
  <w:style w:type="character" w:customStyle="1" w:styleId="17">
    <w:name w:val="17"/>
    <w:basedOn w:val="DefaultParagraphFont"/>
    <w:rsid w:val="005D069A"/>
    <w:rPr>
      <w:rFonts w:ascii="Rockwell" w:hAnsi="Calibri" w:cs="Rockwell" w:hint="default"/>
      <w:color w:val="FFFFFF"/>
    </w:rPr>
  </w:style>
  <w:style w:type="character" w:styleId="Hyperlink">
    <w:name w:val="Hyperlink"/>
    <w:basedOn w:val="DefaultParagraphFont"/>
    <w:uiPriority w:val="99"/>
    <w:unhideWhenUsed/>
    <w:rsid w:val="0011706B"/>
    <w:rPr>
      <w:color w:val="0563C1" w:themeColor="hyperlink"/>
      <w:u w:val="single"/>
    </w:rPr>
  </w:style>
  <w:style w:type="character" w:styleId="FootnoteReference">
    <w:name w:val="footnote reference"/>
    <w:basedOn w:val="DefaultParagraphFont"/>
    <w:uiPriority w:val="99"/>
    <w:unhideWhenUsed/>
    <w:rsid w:val="00F071A1"/>
    <w:rPr>
      <w:vertAlign w:val="superscript"/>
    </w:rPr>
  </w:style>
  <w:style w:type="table" w:styleId="TableGrid">
    <w:name w:val="Table Grid"/>
    <w:basedOn w:val="TableNormal"/>
    <w:uiPriority w:val="39"/>
    <w:rsid w:val="00C30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06A2F"/>
    <w:rPr>
      <w:rFonts w:ascii="Times New Roman" w:eastAsia="Times New Roman" w:hAnsi="Cambria" w:cs="Times New Roman"/>
      <w:sz w:val="32"/>
      <w:szCs w:val="32"/>
      <w:lang w:val="en-US"/>
      <w14:ligatures w14:val="standardContextual"/>
    </w:rPr>
  </w:style>
  <w:style w:type="character" w:customStyle="1" w:styleId="UnresolvedMention1">
    <w:name w:val="Unresolved Mention1"/>
    <w:basedOn w:val="DefaultParagraphFont"/>
    <w:uiPriority w:val="99"/>
    <w:semiHidden/>
    <w:unhideWhenUsed/>
    <w:rsid w:val="003B05CB"/>
    <w:rPr>
      <w:color w:val="605E5C"/>
      <w:shd w:val="clear" w:color="auto" w:fill="E1DFDD"/>
    </w:rPr>
  </w:style>
  <w:style w:type="paragraph" w:styleId="HTMLPreformatted">
    <w:name w:val="HTML Preformatted"/>
    <w:basedOn w:val="Normal"/>
    <w:link w:val="HTMLPreformattedChar"/>
    <w:uiPriority w:val="99"/>
    <w:semiHidden/>
    <w:unhideWhenUsed/>
    <w:rsid w:val="00FE7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40" w:lineRule="auto"/>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FE7BBA"/>
    <w:rPr>
      <w:rFonts w:ascii="Courier New" w:eastAsia="Times New Roman" w:hAnsi="Courier New" w:cs="Courier New"/>
      <w:sz w:val="20"/>
      <w:szCs w:val="20"/>
      <w:lang w:val="en-ID" w:eastAsia="en-ID"/>
    </w:rPr>
  </w:style>
  <w:style w:type="character" w:customStyle="1" w:styleId="y2iqfc">
    <w:name w:val="y2iqfc"/>
    <w:basedOn w:val="DefaultParagraphFont"/>
    <w:rsid w:val="00FE7BBA"/>
  </w:style>
  <w:style w:type="character" w:customStyle="1" w:styleId="AbstractContentChar">
    <w:name w:val="Abstract Content Char"/>
    <w:basedOn w:val="DefaultParagraphFont"/>
    <w:link w:val="AbstractContent"/>
    <w:qFormat/>
    <w:rsid w:val="00FE7BBA"/>
    <w:rPr>
      <w:rFonts w:ascii="Times New Roman" w:hAnsi="Times New Roman"/>
      <w:lang w:val="en-US"/>
    </w:rPr>
  </w:style>
  <w:style w:type="paragraph" w:customStyle="1" w:styleId="AbstractContent">
    <w:name w:val="Abstract Content"/>
    <w:basedOn w:val="Normal"/>
    <w:link w:val="AbstractContentChar"/>
    <w:qFormat/>
    <w:rsid w:val="00FE7BBA"/>
    <w:pPr>
      <w:suppressAutoHyphens/>
      <w:spacing w:before="0" w:beforeAutospacing="0" w:after="120" w:afterAutospacing="0" w:line="240" w:lineRule="auto"/>
      <w:contextualSpacing/>
      <w:jc w:val="both"/>
    </w:pPr>
    <w:rPr>
      <w:rFonts w:ascii="Times New Roman" w:eastAsiaTheme="minorHAnsi" w:hAnsi="Times New Roman" w:cstheme="minorBidi"/>
      <w:sz w:val="22"/>
      <w:szCs w:val="22"/>
      <w:lang w:val="en-US" w:eastAsia="en-US"/>
    </w:rPr>
  </w:style>
  <w:style w:type="character" w:customStyle="1" w:styleId="ListParagraphChar">
    <w:name w:val="List Paragraph Char"/>
    <w:aliases w:val="Body of text Char"/>
    <w:link w:val="ListParagraph"/>
    <w:uiPriority w:val="34"/>
    <w:locked/>
    <w:rsid w:val="009876D6"/>
    <w:rPr>
      <w:rFonts w:ascii="Calibri" w:eastAsia="Times New Roman" w:hAnsi="Calibri" w:cs="Times New Roman"/>
      <w:sz w:val="24"/>
      <w:szCs w:val="24"/>
      <w:lang w:eastAsia="id-ID"/>
    </w:rPr>
  </w:style>
  <w:style w:type="character" w:customStyle="1" w:styleId="Heading3Char">
    <w:name w:val="Heading 3 Char"/>
    <w:basedOn w:val="DefaultParagraphFont"/>
    <w:link w:val="Heading3"/>
    <w:uiPriority w:val="9"/>
    <w:semiHidden/>
    <w:rsid w:val="00D44C05"/>
    <w:rPr>
      <w:rFonts w:asciiTheme="majorHAnsi" w:eastAsiaTheme="majorEastAsia" w:hAnsiTheme="majorHAnsi" w:cstheme="majorBidi"/>
      <w:color w:val="1F4D78" w:themeColor="accent1" w:themeShade="7F"/>
      <w:sz w:val="24"/>
      <w:szCs w:val="24"/>
      <w:lang w:eastAsia="id-ID"/>
    </w:rPr>
  </w:style>
  <w:style w:type="character" w:styleId="Emphasis">
    <w:name w:val="Emphasis"/>
    <w:basedOn w:val="DefaultParagraphFont"/>
    <w:uiPriority w:val="20"/>
    <w:qFormat/>
    <w:rsid w:val="00D44C05"/>
    <w:rPr>
      <w:i/>
      <w:iCs/>
    </w:rPr>
  </w:style>
  <w:style w:type="character" w:customStyle="1" w:styleId="Heading2Char">
    <w:name w:val="Heading 2 Char"/>
    <w:basedOn w:val="DefaultParagraphFont"/>
    <w:link w:val="Heading2"/>
    <w:uiPriority w:val="9"/>
    <w:rsid w:val="00D44C05"/>
    <w:rPr>
      <w:rFonts w:asciiTheme="majorHAnsi" w:eastAsiaTheme="majorEastAsia" w:hAnsiTheme="majorHAnsi" w:cstheme="majorBidi"/>
      <w:color w:val="2E74B5" w:themeColor="accent1" w:themeShade="BF"/>
      <w:sz w:val="26"/>
      <w:szCs w:val="26"/>
      <w:lang w:eastAsia="id-ID"/>
    </w:rPr>
  </w:style>
  <w:style w:type="character" w:styleId="UnresolvedMention">
    <w:name w:val="Unresolved Mention"/>
    <w:basedOn w:val="DefaultParagraphFont"/>
    <w:uiPriority w:val="99"/>
    <w:semiHidden/>
    <w:unhideWhenUsed/>
    <w:rsid w:val="004F3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731405">
      <w:bodyDiv w:val="1"/>
      <w:marLeft w:val="0"/>
      <w:marRight w:val="0"/>
      <w:marTop w:val="0"/>
      <w:marBottom w:val="0"/>
      <w:divBdr>
        <w:top w:val="none" w:sz="0" w:space="0" w:color="auto"/>
        <w:left w:val="none" w:sz="0" w:space="0" w:color="auto"/>
        <w:bottom w:val="none" w:sz="0" w:space="0" w:color="auto"/>
        <w:right w:val="none" w:sz="0" w:space="0" w:color="auto"/>
      </w:divBdr>
    </w:div>
    <w:div w:id="809901207">
      <w:bodyDiv w:val="1"/>
      <w:marLeft w:val="0"/>
      <w:marRight w:val="0"/>
      <w:marTop w:val="0"/>
      <w:marBottom w:val="0"/>
      <w:divBdr>
        <w:top w:val="none" w:sz="0" w:space="0" w:color="auto"/>
        <w:left w:val="none" w:sz="0" w:space="0" w:color="auto"/>
        <w:bottom w:val="none" w:sz="0" w:space="0" w:color="auto"/>
        <w:right w:val="none" w:sz="0" w:space="0" w:color="auto"/>
      </w:divBdr>
    </w:div>
    <w:div w:id="831410957">
      <w:bodyDiv w:val="1"/>
      <w:marLeft w:val="0"/>
      <w:marRight w:val="0"/>
      <w:marTop w:val="0"/>
      <w:marBottom w:val="0"/>
      <w:divBdr>
        <w:top w:val="none" w:sz="0" w:space="0" w:color="auto"/>
        <w:left w:val="none" w:sz="0" w:space="0" w:color="auto"/>
        <w:bottom w:val="none" w:sz="0" w:space="0" w:color="auto"/>
        <w:right w:val="none" w:sz="0" w:space="0" w:color="auto"/>
      </w:divBdr>
    </w:div>
    <w:div w:id="839927067">
      <w:bodyDiv w:val="1"/>
      <w:marLeft w:val="0"/>
      <w:marRight w:val="0"/>
      <w:marTop w:val="0"/>
      <w:marBottom w:val="0"/>
      <w:divBdr>
        <w:top w:val="none" w:sz="0" w:space="0" w:color="auto"/>
        <w:left w:val="none" w:sz="0" w:space="0" w:color="auto"/>
        <w:bottom w:val="none" w:sz="0" w:space="0" w:color="auto"/>
        <w:right w:val="none" w:sz="0" w:space="0" w:color="auto"/>
      </w:divBdr>
      <w:divsChild>
        <w:div w:id="130827260">
          <w:marLeft w:val="547"/>
          <w:marRight w:val="0"/>
          <w:marTop w:val="115"/>
          <w:marBottom w:val="0"/>
          <w:divBdr>
            <w:top w:val="none" w:sz="0" w:space="0" w:color="auto"/>
            <w:left w:val="none" w:sz="0" w:space="0" w:color="auto"/>
            <w:bottom w:val="none" w:sz="0" w:space="0" w:color="auto"/>
            <w:right w:val="none" w:sz="0" w:space="0" w:color="auto"/>
          </w:divBdr>
        </w:div>
      </w:divsChild>
    </w:div>
    <w:div w:id="853543613">
      <w:bodyDiv w:val="1"/>
      <w:marLeft w:val="0"/>
      <w:marRight w:val="0"/>
      <w:marTop w:val="0"/>
      <w:marBottom w:val="0"/>
      <w:divBdr>
        <w:top w:val="none" w:sz="0" w:space="0" w:color="auto"/>
        <w:left w:val="none" w:sz="0" w:space="0" w:color="auto"/>
        <w:bottom w:val="none" w:sz="0" w:space="0" w:color="auto"/>
        <w:right w:val="none" w:sz="0" w:space="0" w:color="auto"/>
      </w:divBdr>
    </w:div>
    <w:div w:id="941575548">
      <w:bodyDiv w:val="1"/>
      <w:marLeft w:val="0"/>
      <w:marRight w:val="0"/>
      <w:marTop w:val="0"/>
      <w:marBottom w:val="0"/>
      <w:divBdr>
        <w:top w:val="none" w:sz="0" w:space="0" w:color="auto"/>
        <w:left w:val="none" w:sz="0" w:space="0" w:color="auto"/>
        <w:bottom w:val="none" w:sz="0" w:space="0" w:color="auto"/>
        <w:right w:val="none" w:sz="0" w:space="0" w:color="auto"/>
      </w:divBdr>
    </w:div>
    <w:div w:id="1492941102">
      <w:bodyDiv w:val="1"/>
      <w:marLeft w:val="0"/>
      <w:marRight w:val="0"/>
      <w:marTop w:val="0"/>
      <w:marBottom w:val="0"/>
      <w:divBdr>
        <w:top w:val="none" w:sz="0" w:space="0" w:color="auto"/>
        <w:left w:val="none" w:sz="0" w:space="0" w:color="auto"/>
        <w:bottom w:val="none" w:sz="0" w:space="0" w:color="auto"/>
        <w:right w:val="none" w:sz="0" w:space="0" w:color="auto"/>
      </w:divBdr>
    </w:div>
    <w:div w:id="1566333638">
      <w:bodyDiv w:val="1"/>
      <w:marLeft w:val="0"/>
      <w:marRight w:val="0"/>
      <w:marTop w:val="0"/>
      <w:marBottom w:val="0"/>
      <w:divBdr>
        <w:top w:val="none" w:sz="0" w:space="0" w:color="auto"/>
        <w:left w:val="none" w:sz="0" w:space="0" w:color="auto"/>
        <w:bottom w:val="none" w:sz="0" w:space="0" w:color="auto"/>
        <w:right w:val="none" w:sz="0" w:space="0" w:color="auto"/>
      </w:divBdr>
    </w:div>
    <w:div w:id="1695617438">
      <w:bodyDiv w:val="1"/>
      <w:marLeft w:val="0"/>
      <w:marRight w:val="0"/>
      <w:marTop w:val="0"/>
      <w:marBottom w:val="0"/>
      <w:divBdr>
        <w:top w:val="none" w:sz="0" w:space="0" w:color="auto"/>
        <w:left w:val="none" w:sz="0" w:space="0" w:color="auto"/>
        <w:bottom w:val="none" w:sz="0" w:space="0" w:color="auto"/>
        <w:right w:val="none" w:sz="0" w:space="0" w:color="auto"/>
      </w:divBdr>
    </w:div>
    <w:div w:id="198458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_din@usk.ac.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rahh77@gmail.com" TargetMode="External"/><Relationship Id="rId4" Type="http://schemas.openxmlformats.org/officeDocument/2006/relationships/settings" Target="settings.xml"/><Relationship Id="rId9" Type="http://schemas.openxmlformats.org/officeDocument/2006/relationships/hyperlink" Target="mailto:aliabubakar@ar-raniry.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74B2CEF-2058-4373-8EA9-D6E301D86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1392</TotalTime>
  <Pages>14</Pages>
  <Words>7177</Words>
  <Characters>40909</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9</cp:revision>
  <dcterms:created xsi:type="dcterms:W3CDTF">2023-06-09T21:31:00Z</dcterms:created>
  <dcterms:modified xsi:type="dcterms:W3CDTF">2023-06-12T01:57:00Z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649c01e8-7840-313f-9241-09504212ab5b</vt:lpwstr>
  </property>
  <property fmtid="{D5CDD505-2E9C-101B-9397-08002B2CF9AE}" pid="4" name="Mendeley Citation Style_1">
    <vt:lpwstr>http://www.zotero.org/styles/chicago-fullnote-bibliography</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12th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