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EBD73" w14:textId="3304FFCF" w:rsidR="0087184D" w:rsidRPr="00B075AC" w:rsidRDefault="0087184D" w:rsidP="009E1FCF">
      <w:pPr>
        <w:rPr>
          <w:color w:val="000000" w:themeColor="text1"/>
          <w:sz w:val="14"/>
          <w:szCs w:val="14"/>
          <w:lang w:val="id-ID"/>
        </w:rPr>
        <w:sectPr w:rsidR="0087184D" w:rsidRPr="00B075AC" w:rsidSect="00973B8E">
          <w:headerReference w:type="default" r:id="rId8"/>
          <w:footerReference w:type="default" r:id="rId9"/>
          <w:pgSz w:w="11906" w:h="16838" w:code="9"/>
          <w:pgMar w:top="1580" w:right="820" w:bottom="280" w:left="1040" w:header="713" w:footer="731" w:gutter="0"/>
          <w:pgNumType w:start="291"/>
          <w:cols w:space="720"/>
          <w:docGrid w:linePitch="272"/>
        </w:sectPr>
      </w:pPr>
      <w:bookmarkStart w:id="0" w:name="_GoBack"/>
      <w:bookmarkEnd w:id="0"/>
    </w:p>
    <w:p w14:paraId="0B535DDB" w14:textId="77777777" w:rsidR="00461E60" w:rsidRDefault="00461E60" w:rsidP="00461E60">
      <w:pPr>
        <w:pStyle w:val="Title"/>
        <w:rPr>
          <w:color w:val="231F20"/>
          <w:spacing w:val="-2"/>
          <w:sz w:val="28"/>
          <w:szCs w:val="28"/>
        </w:rPr>
      </w:pPr>
      <w:r w:rsidRPr="00E629D8">
        <w:rPr>
          <w:color w:val="231F20"/>
          <w:spacing w:val="-2"/>
          <w:sz w:val="28"/>
          <w:szCs w:val="28"/>
        </w:rPr>
        <w:lastRenderedPageBreak/>
        <w:t>LEGAL ISSUES</w:t>
      </w:r>
      <w:r>
        <w:rPr>
          <w:color w:val="231F20"/>
          <w:spacing w:val="-2"/>
          <w:sz w:val="28"/>
          <w:szCs w:val="28"/>
        </w:rPr>
        <w:t xml:space="preserve">: </w:t>
      </w:r>
    </w:p>
    <w:p w14:paraId="1844578E" w14:textId="77777777" w:rsidR="00461E60" w:rsidRDefault="00461E60" w:rsidP="00461E60">
      <w:pPr>
        <w:pStyle w:val="Title"/>
        <w:rPr>
          <w:color w:val="231F20"/>
          <w:spacing w:val="-2"/>
          <w:sz w:val="28"/>
          <w:szCs w:val="28"/>
        </w:rPr>
      </w:pPr>
      <w:r w:rsidRPr="008F3324">
        <w:rPr>
          <w:color w:val="231F20"/>
          <w:spacing w:val="-2"/>
          <w:sz w:val="28"/>
          <w:szCs w:val="28"/>
        </w:rPr>
        <w:t xml:space="preserve">THREATS TO CONSUMER DATA PROTECTION </w:t>
      </w:r>
    </w:p>
    <w:p w14:paraId="10DF9085" w14:textId="77777777" w:rsidR="00461E60" w:rsidRDefault="00461E60" w:rsidP="00461E60">
      <w:pPr>
        <w:pStyle w:val="Title"/>
        <w:rPr>
          <w:color w:val="231F20"/>
          <w:spacing w:val="-2"/>
          <w:sz w:val="28"/>
          <w:szCs w:val="28"/>
        </w:rPr>
      </w:pPr>
      <w:r w:rsidRPr="008F3324">
        <w:rPr>
          <w:color w:val="231F20"/>
          <w:spacing w:val="-2"/>
          <w:sz w:val="28"/>
          <w:szCs w:val="28"/>
        </w:rPr>
        <w:t>IN</w:t>
      </w:r>
      <w:r>
        <w:rPr>
          <w:color w:val="231F20"/>
          <w:spacing w:val="-2"/>
          <w:sz w:val="28"/>
          <w:szCs w:val="28"/>
        </w:rPr>
        <w:t xml:space="preserve"> </w:t>
      </w:r>
      <w:r w:rsidRPr="008F3324">
        <w:rPr>
          <w:color w:val="231F20"/>
          <w:spacing w:val="-2"/>
          <w:sz w:val="28"/>
          <w:szCs w:val="28"/>
        </w:rPr>
        <w:t xml:space="preserve">THE </w:t>
      </w:r>
      <w:r>
        <w:rPr>
          <w:color w:val="231F20"/>
          <w:spacing w:val="-2"/>
          <w:sz w:val="28"/>
          <w:szCs w:val="28"/>
        </w:rPr>
        <w:t>E-HEALTH</w:t>
      </w:r>
      <w:r w:rsidRPr="008F3324">
        <w:rPr>
          <w:color w:val="231F20"/>
          <w:spacing w:val="-2"/>
          <w:sz w:val="28"/>
          <w:szCs w:val="28"/>
        </w:rPr>
        <w:t xml:space="preserve"> SECTOR </w:t>
      </w:r>
    </w:p>
    <w:p w14:paraId="4979D499" w14:textId="0303586D" w:rsidR="00FF0922" w:rsidRPr="00476CF0" w:rsidRDefault="00FF0922" w:rsidP="00B37C57">
      <w:pPr>
        <w:pStyle w:val="ArticleTitle"/>
        <w:spacing w:before="0"/>
        <w:rPr>
          <w:sz w:val="28"/>
          <w:szCs w:val="28"/>
        </w:rPr>
      </w:pPr>
    </w:p>
    <w:p w14:paraId="3E24B4A2" w14:textId="6AA700F1" w:rsidR="00461E60" w:rsidRPr="00461E60" w:rsidRDefault="007A01E9" w:rsidP="00461E60">
      <w:pPr>
        <w:pStyle w:val="ArticleTitle"/>
        <w:rPr>
          <w:i/>
          <w:iCs w:val="0"/>
        </w:rPr>
      </w:pPr>
      <w:r>
        <w:rPr>
          <w:i/>
          <w:iCs w:val="0"/>
        </w:rPr>
        <w:t>PER</w:t>
      </w:r>
      <w:r w:rsidR="00461E60" w:rsidRPr="00461E60">
        <w:rPr>
          <w:i/>
          <w:iCs w:val="0"/>
        </w:rPr>
        <w:t>MASALAH</w:t>
      </w:r>
      <w:r>
        <w:rPr>
          <w:i/>
          <w:iCs w:val="0"/>
        </w:rPr>
        <w:t>AN</w:t>
      </w:r>
      <w:r w:rsidR="00461E60" w:rsidRPr="00461E60">
        <w:rPr>
          <w:i/>
          <w:iCs w:val="0"/>
        </w:rPr>
        <w:t xml:space="preserve"> HUKUM:</w:t>
      </w:r>
    </w:p>
    <w:p w14:paraId="21327495" w14:textId="77777777" w:rsidR="00461E60" w:rsidRPr="00461E60" w:rsidRDefault="00461E60" w:rsidP="004B6748">
      <w:pPr>
        <w:pStyle w:val="ArticleTitle"/>
        <w:spacing w:before="0"/>
        <w:ind w:left="369"/>
        <w:rPr>
          <w:i/>
          <w:iCs w:val="0"/>
        </w:rPr>
      </w:pPr>
      <w:r w:rsidRPr="00461E60">
        <w:rPr>
          <w:i/>
          <w:iCs w:val="0"/>
        </w:rPr>
        <w:t>ANCAMAN TERHADAP PERLINDUNGAN DATA KONSUMEN</w:t>
      </w:r>
    </w:p>
    <w:p w14:paraId="7CF7FE23" w14:textId="27AF47C8" w:rsidR="00FF0922" w:rsidRPr="00476CF0" w:rsidRDefault="00461E60" w:rsidP="004B6748">
      <w:pPr>
        <w:pStyle w:val="ArticleTitle"/>
        <w:spacing w:before="0"/>
        <w:ind w:left="369"/>
        <w:rPr>
          <w:i/>
        </w:rPr>
      </w:pPr>
      <w:r w:rsidRPr="00461E60">
        <w:rPr>
          <w:i/>
          <w:iCs w:val="0"/>
        </w:rPr>
        <w:t>DI SEKTOR E-HEALTH</w:t>
      </w:r>
    </w:p>
    <w:p w14:paraId="2FE2A7CB" w14:textId="5247FA1D" w:rsidR="00844256" w:rsidRPr="00476CF0" w:rsidRDefault="00844256" w:rsidP="004B6748">
      <w:pPr>
        <w:pStyle w:val="NormalWeb"/>
        <w:spacing w:before="120" w:beforeAutospacing="0" w:after="0" w:afterAutospacing="0"/>
        <w:jc w:val="center"/>
        <w:rPr>
          <w:rStyle w:val="hps"/>
          <w:rFonts w:eastAsiaTheme="majorEastAsia"/>
          <w:b/>
          <w:color w:val="000000" w:themeColor="text1"/>
          <w:sz w:val="22"/>
          <w:szCs w:val="22"/>
        </w:rPr>
      </w:pPr>
      <w:r w:rsidRPr="00476CF0">
        <w:rPr>
          <w:rStyle w:val="hps"/>
          <w:rFonts w:eastAsiaTheme="majorEastAsia"/>
          <w:b/>
          <w:color w:val="000000" w:themeColor="text1"/>
          <w:sz w:val="22"/>
          <w:szCs w:val="22"/>
        </w:rPr>
        <w:t>Edy Santoso</w:t>
      </w:r>
      <w:r w:rsidR="00461E60">
        <w:rPr>
          <w:rStyle w:val="hps"/>
          <w:rFonts w:eastAsiaTheme="majorEastAsia"/>
          <w:b/>
          <w:color w:val="000000" w:themeColor="text1"/>
          <w:sz w:val="22"/>
          <w:szCs w:val="22"/>
        </w:rPr>
        <w:t xml:space="preserve">, </w:t>
      </w:r>
      <w:r w:rsidR="00461E60" w:rsidRPr="00461E60">
        <w:rPr>
          <w:b/>
          <w:color w:val="231F20"/>
          <w:sz w:val="22"/>
          <w:szCs w:val="22"/>
        </w:rPr>
        <w:t>Andriana</w:t>
      </w:r>
    </w:p>
    <w:p w14:paraId="254BEFEA" w14:textId="538BDE41" w:rsidR="00844256" w:rsidRDefault="00A66625" w:rsidP="004B6748">
      <w:pPr>
        <w:pStyle w:val="NormalWeb"/>
        <w:spacing w:before="120" w:beforeAutospacing="0" w:after="0" w:afterAutospacing="0"/>
        <w:jc w:val="center"/>
        <w:rPr>
          <w:rStyle w:val="hps"/>
          <w:rFonts w:eastAsiaTheme="majorEastAsia"/>
          <w:b/>
          <w:color w:val="000000" w:themeColor="text1"/>
          <w:sz w:val="22"/>
          <w:szCs w:val="22"/>
        </w:rPr>
      </w:pPr>
      <w:r>
        <w:t xml:space="preserve"> </w:t>
      </w:r>
      <w:r>
        <w:rPr>
          <w:b/>
          <w:bCs/>
          <w:color w:val="221F1F"/>
          <w:sz w:val="22"/>
          <w:szCs w:val="22"/>
        </w:rPr>
        <w:t xml:space="preserve">Magister </w:t>
      </w:r>
      <w:proofErr w:type="spellStart"/>
      <w:r>
        <w:rPr>
          <w:b/>
          <w:bCs/>
          <w:color w:val="221F1F"/>
          <w:sz w:val="22"/>
          <w:szCs w:val="22"/>
        </w:rPr>
        <w:t>Ilmu</w:t>
      </w:r>
      <w:proofErr w:type="spellEnd"/>
      <w:r>
        <w:rPr>
          <w:b/>
          <w:bCs/>
          <w:color w:val="221F1F"/>
          <w:sz w:val="22"/>
          <w:szCs w:val="22"/>
        </w:rPr>
        <w:t xml:space="preserve"> </w:t>
      </w:r>
      <w:proofErr w:type="spellStart"/>
      <w:r>
        <w:rPr>
          <w:b/>
          <w:bCs/>
          <w:color w:val="221F1F"/>
          <w:sz w:val="22"/>
          <w:szCs w:val="22"/>
        </w:rPr>
        <w:t>Hukum</w:t>
      </w:r>
      <w:proofErr w:type="spellEnd"/>
      <w:r>
        <w:rPr>
          <w:b/>
          <w:bCs/>
          <w:color w:val="221F1F"/>
          <w:sz w:val="22"/>
          <w:szCs w:val="22"/>
        </w:rPr>
        <w:t xml:space="preserve">, </w:t>
      </w:r>
      <w:proofErr w:type="spellStart"/>
      <w:r>
        <w:rPr>
          <w:b/>
          <w:bCs/>
          <w:color w:val="221F1F"/>
          <w:sz w:val="22"/>
          <w:szCs w:val="22"/>
        </w:rPr>
        <w:t>Universitas</w:t>
      </w:r>
      <w:proofErr w:type="spellEnd"/>
      <w:r>
        <w:rPr>
          <w:b/>
          <w:bCs/>
          <w:color w:val="221F1F"/>
          <w:sz w:val="22"/>
          <w:szCs w:val="22"/>
        </w:rPr>
        <w:t xml:space="preserve"> </w:t>
      </w:r>
      <w:proofErr w:type="spellStart"/>
      <w:r>
        <w:rPr>
          <w:b/>
          <w:bCs/>
          <w:color w:val="221F1F"/>
          <w:sz w:val="22"/>
          <w:szCs w:val="22"/>
        </w:rPr>
        <w:t>Langlangbuana</w:t>
      </w:r>
      <w:proofErr w:type="spellEnd"/>
      <w:r>
        <w:rPr>
          <w:b/>
          <w:bCs/>
          <w:color w:val="221F1F"/>
          <w:sz w:val="22"/>
          <w:szCs w:val="22"/>
        </w:rPr>
        <w:t>, Bandung</w:t>
      </w:r>
      <w:r w:rsidR="00844256" w:rsidRPr="00476CF0">
        <w:rPr>
          <w:rStyle w:val="hps"/>
          <w:rFonts w:eastAsiaTheme="majorEastAsia"/>
          <w:b/>
          <w:color w:val="000000" w:themeColor="text1"/>
          <w:sz w:val="22"/>
          <w:szCs w:val="22"/>
        </w:rPr>
        <w:t xml:space="preserve"> </w:t>
      </w:r>
    </w:p>
    <w:p w14:paraId="0CDFA37A" w14:textId="4336E9E7" w:rsidR="00461E60" w:rsidRPr="00F857D1" w:rsidRDefault="00461E60" w:rsidP="00461E60">
      <w:pPr>
        <w:ind w:left="719" w:right="478"/>
        <w:jc w:val="center"/>
      </w:pPr>
      <w:proofErr w:type="spellStart"/>
      <w:r w:rsidRPr="00A66625">
        <w:rPr>
          <w:b/>
          <w:color w:val="231F20"/>
          <w:sz w:val="22"/>
          <w:szCs w:val="22"/>
        </w:rPr>
        <w:t>Fakultas</w:t>
      </w:r>
      <w:proofErr w:type="spellEnd"/>
      <w:r w:rsidRPr="00A66625">
        <w:rPr>
          <w:b/>
          <w:color w:val="231F20"/>
          <w:sz w:val="22"/>
          <w:szCs w:val="22"/>
        </w:rPr>
        <w:t xml:space="preserve"> Teknik </w:t>
      </w:r>
      <w:proofErr w:type="spellStart"/>
      <w:r w:rsidRPr="00A66625">
        <w:rPr>
          <w:b/>
          <w:color w:val="231F20"/>
          <w:sz w:val="22"/>
          <w:szCs w:val="22"/>
        </w:rPr>
        <w:t>Elektro</w:t>
      </w:r>
      <w:proofErr w:type="spellEnd"/>
      <w:r w:rsidRPr="00A66625">
        <w:rPr>
          <w:b/>
          <w:color w:val="231F20"/>
          <w:sz w:val="22"/>
          <w:szCs w:val="22"/>
        </w:rPr>
        <w:t>,</w:t>
      </w:r>
      <w:r w:rsidRPr="00F857D1">
        <w:rPr>
          <w:color w:val="231F20"/>
          <w:spacing w:val="-7"/>
        </w:rPr>
        <w:t xml:space="preserve"> </w:t>
      </w:r>
      <w:proofErr w:type="spellStart"/>
      <w:r w:rsidRPr="00476CF0">
        <w:rPr>
          <w:rStyle w:val="hps"/>
          <w:rFonts w:eastAsiaTheme="majorEastAsia"/>
          <w:b/>
          <w:color w:val="000000" w:themeColor="text1"/>
          <w:sz w:val="22"/>
          <w:szCs w:val="22"/>
        </w:rPr>
        <w:t>Universitas</w:t>
      </w:r>
      <w:proofErr w:type="spellEnd"/>
      <w:r w:rsidRPr="00476CF0">
        <w:rPr>
          <w:rStyle w:val="hps"/>
          <w:rFonts w:eastAsiaTheme="majorEastAsia"/>
          <w:b/>
          <w:color w:val="000000" w:themeColor="text1"/>
          <w:sz w:val="22"/>
          <w:szCs w:val="22"/>
        </w:rPr>
        <w:t xml:space="preserve"> </w:t>
      </w:r>
      <w:proofErr w:type="spellStart"/>
      <w:r w:rsidRPr="00476CF0">
        <w:rPr>
          <w:rStyle w:val="hps"/>
          <w:rFonts w:eastAsiaTheme="majorEastAsia"/>
          <w:b/>
          <w:color w:val="000000" w:themeColor="text1"/>
          <w:sz w:val="22"/>
          <w:szCs w:val="22"/>
        </w:rPr>
        <w:t>Langlangbuana</w:t>
      </w:r>
      <w:proofErr w:type="spellEnd"/>
      <w:r w:rsidRPr="00476CF0">
        <w:rPr>
          <w:rStyle w:val="hps"/>
          <w:rFonts w:eastAsiaTheme="majorEastAsia"/>
          <w:b/>
          <w:color w:val="000000" w:themeColor="text1"/>
          <w:sz w:val="22"/>
          <w:szCs w:val="22"/>
        </w:rPr>
        <w:t>, Bandung</w:t>
      </w:r>
    </w:p>
    <w:p w14:paraId="5F3FDBDD" w14:textId="6D3F9D53" w:rsidR="00844256" w:rsidRPr="00476CF0" w:rsidRDefault="00844256" w:rsidP="00844256">
      <w:pPr>
        <w:pStyle w:val="ArticleTitle"/>
        <w:rPr>
          <w:lang w:val="id-ID"/>
        </w:rPr>
      </w:pPr>
      <w:r w:rsidRPr="00476CF0">
        <w:rPr>
          <w:sz w:val="22"/>
          <w:szCs w:val="22"/>
        </w:rPr>
        <w:t xml:space="preserve">Corresponding Author. Email: </w:t>
      </w:r>
      <w:r w:rsidRPr="00476CF0">
        <w:rPr>
          <w:rStyle w:val="hps"/>
          <w:rFonts w:eastAsiaTheme="majorEastAsia"/>
          <w:sz w:val="22"/>
          <w:szCs w:val="22"/>
        </w:rPr>
        <w:t>edys39768@gmail.com</w:t>
      </w:r>
    </w:p>
    <w:p w14:paraId="38451144" w14:textId="77777777" w:rsidR="00FF0922" w:rsidRPr="00E40193" w:rsidRDefault="00FF0922" w:rsidP="00253A30">
      <w:pPr>
        <w:pStyle w:val="NormalWeb"/>
        <w:spacing w:before="0" w:beforeAutospacing="0" w:after="0" w:afterAutospacing="0"/>
        <w:jc w:val="center"/>
        <w:rPr>
          <w:rStyle w:val="hps"/>
          <w:rFonts w:eastAsiaTheme="majorEastAsia"/>
          <w:b/>
          <w:color w:val="000000" w:themeColor="text1"/>
          <w:sz w:val="22"/>
          <w:szCs w:val="22"/>
          <w:lang w:val="id-ID"/>
        </w:rPr>
      </w:pPr>
    </w:p>
    <w:p w14:paraId="492EFD0F" w14:textId="77777777" w:rsidR="00F6048E" w:rsidRPr="00476CF0" w:rsidRDefault="00AC52F1" w:rsidP="00E50B1E">
      <w:pPr>
        <w:pStyle w:val="Abstracttitle"/>
      </w:pPr>
      <w:r w:rsidRPr="00476CF0">
        <w:t>ABSTRACT</w:t>
      </w:r>
    </w:p>
    <w:p w14:paraId="739417AF" w14:textId="77777777" w:rsidR="000156E3" w:rsidRDefault="000156E3" w:rsidP="000156E3">
      <w:pPr>
        <w:pStyle w:val="BodyText"/>
        <w:spacing w:line="247" w:lineRule="auto"/>
        <w:ind w:right="95"/>
        <w:jc w:val="both"/>
        <w:rPr>
          <w:color w:val="000000" w:themeColor="text1"/>
        </w:rPr>
      </w:pPr>
    </w:p>
    <w:p w14:paraId="4EAE6241" w14:textId="05047E74" w:rsidR="000156E3" w:rsidRPr="008759B3" w:rsidRDefault="000156E3" w:rsidP="000156E3">
      <w:pPr>
        <w:pStyle w:val="BodyText"/>
        <w:spacing w:line="247" w:lineRule="auto"/>
        <w:ind w:right="95"/>
        <w:jc w:val="both"/>
        <w:rPr>
          <w:color w:val="000000" w:themeColor="text1"/>
        </w:rPr>
      </w:pPr>
      <w:r w:rsidRPr="008759B3">
        <w:rPr>
          <w:color w:val="000000" w:themeColor="text1"/>
        </w:rPr>
        <w:t>Since the COVID-19 pandemic emerged various applications that are used in health services have emerged, one of which is e-health. The World Health Organization (WHO) has acknowledged that this system utilizes cost-effective and secure Information and Communication Technology (ICT) to support various health sectors. By applying normative research methods and using statutory and comparative law approaches, this study examines two issues. First, how do to examine “Data Breach” violations committed by electronic service providers? Second, how do to identify the “Data Theft” modus operandi committed by the perpetrator</w:t>
      </w:r>
      <w:r w:rsidR="00593196">
        <w:rPr>
          <w:color w:val="000000" w:themeColor="text1"/>
        </w:rPr>
        <w:t xml:space="preserve"> and protection effort</w:t>
      </w:r>
      <w:r w:rsidRPr="008759B3">
        <w:rPr>
          <w:color w:val="000000" w:themeColor="text1"/>
        </w:rPr>
        <w:t>? This study concludes that a "data breach" can occur due to "carelessness" or "bad faith" on the part of the service manager, such as the negligence of a careless employee so that data is accidentally spread. Meanwhile, bad faith may intentionally process the data for commercial purposes, either by processing it alone or by cooperating with other parties who use the data. This is different from "Data Theft" which is caused by "illegal access" activities carried out by the perpetrator, causing data can be changed</w:t>
      </w:r>
      <w:r w:rsidR="00466C0D">
        <w:rPr>
          <w:color w:val="000000" w:themeColor="text1"/>
        </w:rPr>
        <w:t>, damaged</w:t>
      </w:r>
      <w:r w:rsidRPr="008759B3">
        <w:rPr>
          <w:color w:val="000000" w:themeColor="text1"/>
        </w:rPr>
        <w:t xml:space="preserve"> and deleted. Data related to e-health is included in the category of special data that is protected by the laws and regulations in Indonesia.</w:t>
      </w:r>
      <w:r>
        <w:rPr>
          <w:color w:val="000000" w:themeColor="text1"/>
        </w:rPr>
        <w:t xml:space="preserve"> </w:t>
      </w:r>
      <w:r w:rsidRPr="008759B3">
        <w:rPr>
          <w:color w:val="000000" w:themeColor="text1"/>
        </w:rPr>
        <w:t>This study recommended that requires commitment from service providers to participate in providing protection efforts, both from the company's "self-regulation" side in the form of efforts to provide education to service users, as well as technically as an effort to avoid crime, to legal efforts to get protection.</w:t>
      </w:r>
    </w:p>
    <w:p w14:paraId="0591821B" w14:textId="77777777" w:rsidR="00D75BA5" w:rsidRDefault="00D75BA5" w:rsidP="00D75BA5">
      <w:pPr>
        <w:jc w:val="both"/>
        <w:rPr>
          <w:b/>
          <w:color w:val="231F20"/>
        </w:rPr>
      </w:pPr>
    </w:p>
    <w:p w14:paraId="4A809AB5" w14:textId="5C5009B6" w:rsidR="00D75BA5" w:rsidRDefault="00D75BA5" w:rsidP="00D75BA5">
      <w:pPr>
        <w:spacing w:before="120"/>
        <w:jc w:val="both"/>
        <w:rPr>
          <w:color w:val="231F20"/>
        </w:rPr>
      </w:pPr>
      <w:r w:rsidRPr="00407CAC">
        <w:rPr>
          <w:b/>
          <w:color w:val="231F20"/>
        </w:rPr>
        <w:t>Keywords:</w:t>
      </w:r>
      <w:r w:rsidRPr="00407CAC">
        <w:rPr>
          <w:b/>
          <w:color w:val="231F20"/>
          <w:spacing w:val="-5"/>
        </w:rPr>
        <w:t xml:space="preserve"> </w:t>
      </w:r>
      <w:r w:rsidRPr="00407CAC">
        <w:rPr>
          <w:color w:val="231F20"/>
        </w:rPr>
        <w:t>E-health,</w:t>
      </w:r>
      <w:r w:rsidRPr="00407CAC">
        <w:rPr>
          <w:color w:val="231F20"/>
          <w:spacing w:val="-4"/>
        </w:rPr>
        <w:t xml:space="preserve"> </w:t>
      </w:r>
      <w:r w:rsidRPr="00407CAC">
        <w:rPr>
          <w:iCs/>
          <w:color w:val="231F20"/>
        </w:rPr>
        <w:t>data protection</w:t>
      </w:r>
      <w:r w:rsidRPr="00407CAC">
        <w:rPr>
          <w:color w:val="231F20"/>
        </w:rPr>
        <w:t>,</w:t>
      </w:r>
      <w:r w:rsidRPr="00407CAC">
        <w:rPr>
          <w:color w:val="231F20"/>
          <w:spacing w:val="-3"/>
        </w:rPr>
        <w:t xml:space="preserve"> </w:t>
      </w:r>
      <w:r w:rsidRPr="00407CAC">
        <w:rPr>
          <w:color w:val="231F20"/>
        </w:rPr>
        <w:t>cybercrime,</w:t>
      </w:r>
      <w:r w:rsidRPr="00407CAC">
        <w:rPr>
          <w:color w:val="231F20"/>
          <w:spacing w:val="-3"/>
        </w:rPr>
        <w:t xml:space="preserve"> </w:t>
      </w:r>
      <w:r>
        <w:rPr>
          <w:color w:val="231F20"/>
          <w:spacing w:val="-3"/>
        </w:rPr>
        <w:t xml:space="preserve">data breach, </w:t>
      </w:r>
      <w:r>
        <w:rPr>
          <w:color w:val="231F20"/>
        </w:rPr>
        <w:t>data</w:t>
      </w:r>
      <w:r w:rsidRPr="00407CAC">
        <w:rPr>
          <w:color w:val="231F20"/>
        </w:rPr>
        <w:t xml:space="preserve"> </w:t>
      </w:r>
      <w:r>
        <w:rPr>
          <w:color w:val="231F20"/>
        </w:rPr>
        <w:t>t</w:t>
      </w:r>
      <w:r w:rsidRPr="00407CAC">
        <w:rPr>
          <w:color w:val="231F20"/>
        </w:rPr>
        <w:t>heft.</w:t>
      </w:r>
    </w:p>
    <w:p w14:paraId="43A2B1FD" w14:textId="3A390A5E" w:rsidR="00E74D2C" w:rsidRPr="00476CF0" w:rsidRDefault="00E74D2C" w:rsidP="00D75BA5">
      <w:pPr>
        <w:pStyle w:val="Abstracttitle"/>
        <w:spacing w:before="120"/>
        <w:rPr>
          <w:i/>
          <w:lang w:val="en-US"/>
        </w:rPr>
      </w:pPr>
      <w:r w:rsidRPr="00476CF0">
        <w:rPr>
          <w:i/>
        </w:rPr>
        <w:t>ABSTRA</w:t>
      </w:r>
      <w:r w:rsidRPr="00476CF0">
        <w:rPr>
          <w:i/>
          <w:lang w:val="en-US"/>
        </w:rPr>
        <w:t>K</w:t>
      </w:r>
    </w:p>
    <w:p w14:paraId="3171405F" w14:textId="7A7A704F" w:rsidR="00D75BA5" w:rsidRDefault="00D75BA5" w:rsidP="00D75BA5">
      <w:pPr>
        <w:pStyle w:val="NormalWeb"/>
        <w:tabs>
          <w:tab w:val="left" w:pos="910"/>
        </w:tabs>
        <w:spacing w:before="120" w:beforeAutospacing="0" w:after="0" w:afterAutospacing="0"/>
        <w:jc w:val="both"/>
        <w:rPr>
          <w:i/>
          <w:color w:val="000000" w:themeColor="text1"/>
          <w:sz w:val="22"/>
          <w:szCs w:val="22"/>
        </w:rPr>
      </w:pPr>
      <w:proofErr w:type="spellStart"/>
      <w:r w:rsidRPr="00D75BA5">
        <w:rPr>
          <w:i/>
          <w:color w:val="000000" w:themeColor="text1"/>
          <w:sz w:val="22"/>
          <w:szCs w:val="22"/>
        </w:rPr>
        <w:t>Sejak</w:t>
      </w:r>
      <w:proofErr w:type="spellEnd"/>
      <w:r w:rsidRPr="00D75BA5">
        <w:rPr>
          <w:i/>
          <w:color w:val="000000" w:themeColor="text1"/>
          <w:sz w:val="22"/>
          <w:szCs w:val="22"/>
        </w:rPr>
        <w:t xml:space="preserve"> </w:t>
      </w:r>
      <w:proofErr w:type="spellStart"/>
      <w:r w:rsidRPr="00D75BA5">
        <w:rPr>
          <w:i/>
          <w:color w:val="000000" w:themeColor="text1"/>
          <w:sz w:val="22"/>
          <w:szCs w:val="22"/>
        </w:rPr>
        <w:t>pandemi</w:t>
      </w:r>
      <w:proofErr w:type="spellEnd"/>
      <w:r w:rsidRPr="00D75BA5">
        <w:rPr>
          <w:i/>
          <w:color w:val="000000" w:themeColor="text1"/>
          <w:sz w:val="22"/>
          <w:szCs w:val="22"/>
        </w:rPr>
        <w:t xml:space="preserve"> COVID-19 </w:t>
      </w:r>
      <w:proofErr w:type="spellStart"/>
      <w:r w:rsidRPr="00D75BA5">
        <w:rPr>
          <w:i/>
          <w:color w:val="000000" w:themeColor="text1"/>
          <w:sz w:val="22"/>
          <w:szCs w:val="22"/>
        </w:rPr>
        <w:t>muncul</w:t>
      </w:r>
      <w:proofErr w:type="spellEnd"/>
      <w:r w:rsidRPr="00D75BA5">
        <w:rPr>
          <w:i/>
          <w:color w:val="000000" w:themeColor="text1"/>
          <w:sz w:val="22"/>
          <w:szCs w:val="22"/>
        </w:rPr>
        <w:t xml:space="preserve"> </w:t>
      </w:r>
      <w:proofErr w:type="spellStart"/>
      <w:r w:rsidRPr="00D75BA5">
        <w:rPr>
          <w:i/>
          <w:color w:val="000000" w:themeColor="text1"/>
          <w:sz w:val="22"/>
          <w:szCs w:val="22"/>
        </w:rPr>
        <w:t>berbagai</w:t>
      </w:r>
      <w:proofErr w:type="spellEnd"/>
      <w:r w:rsidRPr="00D75BA5">
        <w:rPr>
          <w:i/>
          <w:color w:val="000000" w:themeColor="text1"/>
          <w:sz w:val="22"/>
          <w:szCs w:val="22"/>
        </w:rPr>
        <w:t xml:space="preserve"> </w:t>
      </w:r>
      <w:proofErr w:type="spellStart"/>
      <w:r w:rsidRPr="00D75BA5">
        <w:rPr>
          <w:i/>
          <w:color w:val="000000" w:themeColor="text1"/>
          <w:sz w:val="22"/>
          <w:szCs w:val="22"/>
        </w:rPr>
        <w:t>aplikasi</w:t>
      </w:r>
      <w:proofErr w:type="spellEnd"/>
      <w:r w:rsidRPr="00D75BA5">
        <w:rPr>
          <w:i/>
          <w:color w:val="000000" w:themeColor="text1"/>
          <w:sz w:val="22"/>
          <w:szCs w:val="22"/>
        </w:rPr>
        <w:t xml:space="preserve"> yang </w:t>
      </w:r>
      <w:proofErr w:type="spellStart"/>
      <w:r w:rsidRPr="00D75BA5">
        <w:rPr>
          <w:i/>
          <w:color w:val="000000" w:themeColor="text1"/>
          <w:sz w:val="22"/>
          <w:szCs w:val="22"/>
        </w:rPr>
        <w:t>digunakan</w:t>
      </w:r>
      <w:proofErr w:type="spellEnd"/>
      <w:r w:rsidRPr="00D75BA5">
        <w:rPr>
          <w:i/>
          <w:color w:val="000000" w:themeColor="text1"/>
          <w:sz w:val="22"/>
          <w:szCs w:val="22"/>
        </w:rPr>
        <w:t xml:space="preserve"> </w:t>
      </w:r>
      <w:proofErr w:type="spellStart"/>
      <w:r w:rsidRPr="00D75BA5">
        <w:rPr>
          <w:i/>
          <w:color w:val="000000" w:themeColor="text1"/>
          <w:sz w:val="22"/>
          <w:szCs w:val="22"/>
        </w:rPr>
        <w:t>dalam</w:t>
      </w:r>
      <w:proofErr w:type="spellEnd"/>
      <w:r w:rsidRPr="00D75BA5">
        <w:rPr>
          <w:i/>
          <w:color w:val="000000" w:themeColor="text1"/>
          <w:sz w:val="22"/>
          <w:szCs w:val="22"/>
        </w:rPr>
        <w:t xml:space="preserve"> </w:t>
      </w:r>
      <w:proofErr w:type="spellStart"/>
      <w:r w:rsidRPr="00D75BA5">
        <w:rPr>
          <w:i/>
          <w:color w:val="000000" w:themeColor="text1"/>
          <w:sz w:val="22"/>
          <w:szCs w:val="22"/>
        </w:rPr>
        <w:t>layanan</w:t>
      </w:r>
      <w:proofErr w:type="spellEnd"/>
      <w:r w:rsidRPr="00D75BA5">
        <w:rPr>
          <w:i/>
          <w:color w:val="000000" w:themeColor="text1"/>
          <w:sz w:val="22"/>
          <w:szCs w:val="22"/>
        </w:rPr>
        <w:t xml:space="preserve"> </w:t>
      </w:r>
      <w:proofErr w:type="spellStart"/>
      <w:r w:rsidRPr="00D75BA5">
        <w:rPr>
          <w:i/>
          <w:color w:val="000000" w:themeColor="text1"/>
          <w:sz w:val="22"/>
          <w:szCs w:val="22"/>
        </w:rPr>
        <w:t>kesehatan</w:t>
      </w:r>
      <w:proofErr w:type="spellEnd"/>
      <w:r w:rsidRPr="00D75BA5">
        <w:rPr>
          <w:i/>
          <w:color w:val="000000" w:themeColor="text1"/>
          <w:sz w:val="22"/>
          <w:szCs w:val="22"/>
        </w:rPr>
        <w:t xml:space="preserve">, salah </w:t>
      </w:r>
      <w:proofErr w:type="spellStart"/>
      <w:r w:rsidRPr="00D75BA5">
        <w:rPr>
          <w:i/>
          <w:color w:val="000000" w:themeColor="text1"/>
          <w:sz w:val="22"/>
          <w:szCs w:val="22"/>
        </w:rPr>
        <w:t>satunya</w:t>
      </w:r>
      <w:proofErr w:type="spellEnd"/>
      <w:r w:rsidRPr="00D75BA5">
        <w:rPr>
          <w:i/>
          <w:color w:val="000000" w:themeColor="text1"/>
          <w:sz w:val="22"/>
          <w:szCs w:val="22"/>
        </w:rPr>
        <w:t xml:space="preserve"> </w:t>
      </w:r>
      <w:proofErr w:type="spellStart"/>
      <w:r w:rsidRPr="00D75BA5">
        <w:rPr>
          <w:i/>
          <w:color w:val="000000" w:themeColor="text1"/>
          <w:sz w:val="22"/>
          <w:szCs w:val="22"/>
        </w:rPr>
        <w:t>adalah</w:t>
      </w:r>
      <w:proofErr w:type="spellEnd"/>
      <w:r w:rsidRPr="00D75BA5">
        <w:rPr>
          <w:i/>
          <w:color w:val="000000" w:themeColor="text1"/>
          <w:sz w:val="22"/>
          <w:szCs w:val="22"/>
        </w:rPr>
        <w:t xml:space="preserve"> e-health. </w:t>
      </w:r>
      <w:proofErr w:type="spellStart"/>
      <w:r w:rsidRPr="00D75BA5">
        <w:rPr>
          <w:i/>
          <w:color w:val="000000" w:themeColor="text1"/>
          <w:sz w:val="22"/>
          <w:szCs w:val="22"/>
        </w:rPr>
        <w:t>Organisasi</w:t>
      </w:r>
      <w:proofErr w:type="spellEnd"/>
      <w:r w:rsidRPr="00D75BA5">
        <w:rPr>
          <w:i/>
          <w:color w:val="000000" w:themeColor="text1"/>
          <w:sz w:val="22"/>
          <w:szCs w:val="22"/>
        </w:rPr>
        <w:t xml:space="preserve"> </w:t>
      </w:r>
      <w:proofErr w:type="spellStart"/>
      <w:r w:rsidRPr="00D75BA5">
        <w:rPr>
          <w:i/>
          <w:color w:val="000000" w:themeColor="text1"/>
          <w:sz w:val="22"/>
          <w:szCs w:val="22"/>
        </w:rPr>
        <w:t>Kesehatan</w:t>
      </w:r>
      <w:proofErr w:type="spellEnd"/>
      <w:r w:rsidRPr="00D75BA5">
        <w:rPr>
          <w:i/>
          <w:color w:val="000000" w:themeColor="text1"/>
          <w:sz w:val="22"/>
          <w:szCs w:val="22"/>
        </w:rPr>
        <w:t xml:space="preserve"> Dunia (WHO) </w:t>
      </w:r>
      <w:proofErr w:type="spellStart"/>
      <w:r w:rsidRPr="00D75BA5">
        <w:rPr>
          <w:i/>
          <w:color w:val="000000" w:themeColor="text1"/>
          <w:sz w:val="22"/>
          <w:szCs w:val="22"/>
        </w:rPr>
        <w:t>telah</w:t>
      </w:r>
      <w:proofErr w:type="spellEnd"/>
      <w:r w:rsidRPr="00D75BA5">
        <w:rPr>
          <w:i/>
          <w:color w:val="000000" w:themeColor="text1"/>
          <w:sz w:val="22"/>
          <w:szCs w:val="22"/>
        </w:rPr>
        <w:t xml:space="preserve"> </w:t>
      </w:r>
      <w:proofErr w:type="spellStart"/>
      <w:r w:rsidRPr="00D75BA5">
        <w:rPr>
          <w:i/>
          <w:color w:val="000000" w:themeColor="text1"/>
          <w:sz w:val="22"/>
          <w:szCs w:val="22"/>
        </w:rPr>
        <w:t>mengakui</w:t>
      </w:r>
      <w:proofErr w:type="spellEnd"/>
      <w:r w:rsidRPr="00D75BA5">
        <w:rPr>
          <w:i/>
          <w:color w:val="000000" w:themeColor="text1"/>
          <w:sz w:val="22"/>
          <w:szCs w:val="22"/>
        </w:rPr>
        <w:t xml:space="preserve"> </w:t>
      </w:r>
      <w:proofErr w:type="spellStart"/>
      <w:r w:rsidRPr="00D75BA5">
        <w:rPr>
          <w:i/>
          <w:color w:val="000000" w:themeColor="text1"/>
          <w:sz w:val="22"/>
          <w:szCs w:val="22"/>
        </w:rPr>
        <w:t>bahwa</w:t>
      </w:r>
      <w:proofErr w:type="spellEnd"/>
      <w:r w:rsidRPr="00D75BA5">
        <w:rPr>
          <w:i/>
          <w:color w:val="000000" w:themeColor="text1"/>
          <w:sz w:val="22"/>
          <w:szCs w:val="22"/>
        </w:rPr>
        <w:t xml:space="preserve"> </w:t>
      </w:r>
      <w:proofErr w:type="spellStart"/>
      <w:r w:rsidRPr="00D75BA5">
        <w:rPr>
          <w:i/>
          <w:color w:val="000000" w:themeColor="text1"/>
          <w:sz w:val="22"/>
          <w:szCs w:val="22"/>
        </w:rPr>
        <w:t>sistem</w:t>
      </w:r>
      <w:proofErr w:type="spellEnd"/>
      <w:r w:rsidRPr="00D75BA5">
        <w:rPr>
          <w:i/>
          <w:color w:val="000000" w:themeColor="text1"/>
          <w:sz w:val="22"/>
          <w:szCs w:val="22"/>
        </w:rPr>
        <w:t xml:space="preserve"> </w:t>
      </w:r>
      <w:proofErr w:type="spellStart"/>
      <w:r w:rsidRPr="00D75BA5">
        <w:rPr>
          <w:i/>
          <w:color w:val="000000" w:themeColor="text1"/>
          <w:sz w:val="22"/>
          <w:szCs w:val="22"/>
        </w:rPr>
        <w:t>ini</w:t>
      </w:r>
      <w:proofErr w:type="spellEnd"/>
      <w:r w:rsidRPr="00D75BA5">
        <w:rPr>
          <w:i/>
          <w:color w:val="000000" w:themeColor="text1"/>
          <w:sz w:val="22"/>
          <w:szCs w:val="22"/>
        </w:rPr>
        <w:t xml:space="preserve"> </w:t>
      </w:r>
      <w:proofErr w:type="spellStart"/>
      <w:r w:rsidRPr="00D75BA5">
        <w:rPr>
          <w:i/>
          <w:color w:val="000000" w:themeColor="text1"/>
          <w:sz w:val="22"/>
          <w:szCs w:val="22"/>
        </w:rPr>
        <w:t>memanfaatkan</w:t>
      </w:r>
      <w:proofErr w:type="spellEnd"/>
      <w:r w:rsidRPr="00D75BA5">
        <w:rPr>
          <w:i/>
          <w:color w:val="000000" w:themeColor="text1"/>
          <w:sz w:val="22"/>
          <w:szCs w:val="22"/>
        </w:rPr>
        <w:t xml:space="preserve"> </w:t>
      </w:r>
      <w:proofErr w:type="spellStart"/>
      <w:r w:rsidRPr="00D75BA5">
        <w:rPr>
          <w:i/>
          <w:color w:val="000000" w:themeColor="text1"/>
          <w:sz w:val="22"/>
          <w:szCs w:val="22"/>
        </w:rPr>
        <w:t>Teknologi</w:t>
      </w:r>
      <w:proofErr w:type="spellEnd"/>
      <w:r w:rsidRPr="00D75BA5">
        <w:rPr>
          <w:i/>
          <w:color w:val="000000" w:themeColor="text1"/>
          <w:sz w:val="22"/>
          <w:szCs w:val="22"/>
        </w:rPr>
        <w:t xml:space="preserve"> </w:t>
      </w:r>
      <w:proofErr w:type="spellStart"/>
      <w:r w:rsidRPr="00D75BA5">
        <w:rPr>
          <w:i/>
          <w:color w:val="000000" w:themeColor="text1"/>
          <w:sz w:val="22"/>
          <w:szCs w:val="22"/>
        </w:rPr>
        <w:t>Informasi</w:t>
      </w:r>
      <w:proofErr w:type="spellEnd"/>
      <w:r w:rsidRPr="00D75BA5">
        <w:rPr>
          <w:i/>
          <w:color w:val="000000" w:themeColor="text1"/>
          <w:sz w:val="22"/>
          <w:szCs w:val="22"/>
        </w:rPr>
        <w:t xml:space="preserve"> dan </w:t>
      </w:r>
      <w:proofErr w:type="spellStart"/>
      <w:r w:rsidRPr="00D75BA5">
        <w:rPr>
          <w:i/>
          <w:color w:val="000000" w:themeColor="text1"/>
          <w:sz w:val="22"/>
          <w:szCs w:val="22"/>
        </w:rPr>
        <w:t>Komunikasi</w:t>
      </w:r>
      <w:proofErr w:type="spellEnd"/>
      <w:r w:rsidRPr="00D75BA5">
        <w:rPr>
          <w:i/>
          <w:color w:val="000000" w:themeColor="text1"/>
          <w:sz w:val="22"/>
          <w:szCs w:val="22"/>
        </w:rPr>
        <w:t xml:space="preserve"> (TIK) yang </w:t>
      </w:r>
      <w:proofErr w:type="spellStart"/>
      <w:r w:rsidRPr="00D75BA5">
        <w:rPr>
          <w:i/>
          <w:color w:val="000000" w:themeColor="text1"/>
          <w:sz w:val="22"/>
          <w:szCs w:val="22"/>
        </w:rPr>
        <w:t>hemat</w:t>
      </w:r>
      <w:proofErr w:type="spellEnd"/>
      <w:r w:rsidRPr="00D75BA5">
        <w:rPr>
          <w:i/>
          <w:color w:val="000000" w:themeColor="text1"/>
          <w:sz w:val="22"/>
          <w:szCs w:val="22"/>
        </w:rPr>
        <w:t xml:space="preserve"> </w:t>
      </w:r>
      <w:proofErr w:type="spellStart"/>
      <w:r w:rsidRPr="00D75BA5">
        <w:rPr>
          <w:i/>
          <w:color w:val="000000" w:themeColor="text1"/>
          <w:sz w:val="22"/>
          <w:szCs w:val="22"/>
        </w:rPr>
        <w:t>biaya</w:t>
      </w:r>
      <w:proofErr w:type="spellEnd"/>
      <w:r w:rsidRPr="00D75BA5">
        <w:rPr>
          <w:i/>
          <w:color w:val="000000" w:themeColor="text1"/>
          <w:sz w:val="22"/>
          <w:szCs w:val="22"/>
        </w:rPr>
        <w:t xml:space="preserve"> dan </w:t>
      </w:r>
      <w:proofErr w:type="spellStart"/>
      <w:r w:rsidRPr="00D75BA5">
        <w:rPr>
          <w:i/>
          <w:color w:val="000000" w:themeColor="text1"/>
          <w:sz w:val="22"/>
          <w:szCs w:val="22"/>
        </w:rPr>
        <w:t>aman</w:t>
      </w:r>
      <w:proofErr w:type="spellEnd"/>
      <w:r w:rsidRPr="00D75BA5">
        <w:rPr>
          <w:i/>
          <w:color w:val="000000" w:themeColor="text1"/>
          <w:sz w:val="22"/>
          <w:szCs w:val="22"/>
        </w:rPr>
        <w:t xml:space="preserve"> </w:t>
      </w:r>
      <w:proofErr w:type="spellStart"/>
      <w:r w:rsidRPr="00D75BA5">
        <w:rPr>
          <w:i/>
          <w:color w:val="000000" w:themeColor="text1"/>
          <w:sz w:val="22"/>
          <w:szCs w:val="22"/>
        </w:rPr>
        <w:t>untuk</w:t>
      </w:r>
      <w:proofErr w:type="spellEnd"/>
      <w:r w:rsidRPr="00D75BA5">
        <w:rPr>
          <w:i/>
          <w:color w:val="000000" w:themeColor="text1"/>
          <w:sz w:val="22"/>
          <w:szCs w:val="22"/>
        </w:rPr>
        <w:t xml:space="preserve"> </w:t>
      </w:r>
      <w:proofErr w:type="spellStart"/>
      <w:r w:rsidRPr="00D75BA5">
        <w:rPr>
          <w:i/>
          <w:color w:val="000000" w:themeColor="text1"/>
          <w:sz w:val="22"/>
          <w:szCs w:val="22"/>
        </w:rPr>
        <w:t>mendukung</w:t>
      </w:r>
      <w:proofErr w:type="spellEnd"/>
      <w:r w:rsidRPr="00D75BA5">
        <w:rPr>
          <w:i/>
          <w:color w:val="000000" w:themeColor="text1"/>
          <w:sz w:val="22"/>
          <w:szCs w:val="22"/>
        </w:rPr>
        <w:t xml:space="preserve"> </w:t>
      </w:r>
      <w:proofErr w:type="spellStart"/>
      <w:r w:rsidRPr="00D75BA5">
        <w:rPr>
          <w:i/>
          <w:color w:val="000000" w:themeColor="text1"/>
          <w:sz w:val="22"/>
          <w:szCs w:val="22"/>
        </w:rPr>
        <w:t>berbagai</w:t>
      </w:r>
      <w:proofErr w:type="spellEnd"/>
      <w:r w:rsidRPr="00D75BA5">
        <w:rPr>
          <w:i/>
          <w:color w:val="000000" w:themeColor="text1"/>
          <w:sz w:val="22"/>
          <w:szCs w:val="22"/>
        </w:rPr>
        <w:t xml:space="preserve"> </w:t>
      </w:r>
      <w:proofErr w:type="spellStart"/>
      <w:r w:rsidRPr="00D75BA5">
        <w:rPr>
          <w:i/>
          <w:color w:val="000000" w:themeColor="text1"/>
          <w:sz w:val="22"/>
          <w:szCs w:val="22"/>
        </w:rPr>
        <w:t>sektor</w:t>
      </w:r>
      <w:proofErr w:type="spellEnd"/>
      <w:r w:rsidRPr="00D75BA5">
        <w:rPr>
          <w:i/>
          <w:color w:val="000000" w:themeColor="text1"/>
          <w:sz w:val="22"/>
          <w:szCs w:val="22"/>
        </w:rPr>
        <w:t xml:space="preserve"> </w:t>
      </w:r>
      <w:proofErr w:type="spellStart"/>
      <w:r w:rsidRPr="00D75BA5">
        <w:rPr>
          <w:i/>
          <w:color w:val="000000" w:themeColor="text1"/>
          <w:sz w:val="22"/>
          <w:szCs w:val="22"/>
        </w:rPr>
        <w:t>kesehatan</w:t>
      </w:r>
      <w:proofErr w:type="spellEnd"/>
      <w:r w:rsidRPr="00D75BA5">
        <w:rPr>
          <w:i/>
          <w:color w:val="000000" w:themeColor="text1"/>
          <w:sz w:val="22"/>
          <w:szCs w:val="22"/>
        </w:rPr>
        <w:t xml:space="preserve">. </w:t>
      </w:r>
      <w:proofErr w:type="spellStart"/>
      <w:r w:rsidRPr="00D75BA5">
        <w:rPr>
          <w:i/>
          <w:color w:val="000000" w:themeColor="text1"/>
          <w:sz w:val="22"/>
          <w:szCs w:val="22"/>
        </w:rPr>
        <w:t>Dengan</w:t>
      </w:r>
      <w:proofErr w:type="spellEnd"/>
      <w:r w:rsidRPr="00D75BA5">
        <w:rPr>
          <w:i/>
          <w:color w:val="000000" w:themeColor="text1"/>
          <w:sz w:val="22"/>
          <w:szCs w:val="22"/>
        </w:rPr>
        <w:t xml:space="preserve"> </w:t>
      </w:r>
      <w:proofErr w:type="spellStart"/>
      <w:r w:rsidRPr="00D75BA5">
        <w:rPr>
          <w:i/>
          <w:color w:val="000000" w:themeColor="text1"/>
          <w:sz w:val="22"/>
          <w:szCs w:val="22"/>
        </w:rPr>
        <w:t>menerapkan</w:t>
      </w:r>
      <w:proofErr w:type="spellEnd"/>
      <w:r w:rsidRPr="00D75BA5">
        <w:rPr>
          <w:i/>
          <w:color w:val="000000" w:themeColor="text1"/>
          <w:sz w:val="22"/>
          <w:szCs w:val="22"/>
        </w:rPr>
        <w:t xml:space="preserve"> </w:t>
      </w:r>
      <w:proofErr w:type="spellStart"/>
      <w:r w:rsidRPr="00D75BA5">
        <w:rPr>
          <w:i/>
          <w:color w:val="000000" w:themeColor="text1"/>
          <w:sz w:val="22"/>
          <w:szCs w:val="22"/>
        </w:rPr>
        <w:t>metode</w:t>
      </w:r>
      <w:proofErr w:type="spellEnd"/>
      <w:r w:rsidRPr="00D75BA5">
        <w:rPr>
          <w:i/>
          <w:color w:val="000000" w:themeColor="text1"/>
          <w:sz w:val="22"/>
          <w:szCs w:val="22"/>
        </w:rPr>
        <w:t xml:space="preserve"> </w:t>
      </w:r>
      <w:proofErr w:type="spellStart"/>
      <w:r w:rsidRPr="00D75BA5">
        <w:rPr>
          <w:i/>
          <w:color w:val="000000" w:themeColor="text1"/>
          <w:sz w:val="22"/>
          <w:szCs w:val="22"/>
        </w:rPr>
        <w:t>penelitian</w:t>
      </w:r>
      <w:proofErr w:type="spellEnd"/>
      <w:r w:rsidRPr="00D75BA5">
        <w:rPr>
          <w:i/>
          <w:color w:val="000000" w:themeColor="text1"/>
          <w:sz w:val="22"/>
          <w:szCs w:val="22"/>
        </w:rPr>
        <w:t xml:space="preserve"> </w:t>
      </w:r>
      <w:proofErr w:type="spellStart"/>
      <w:r w:rsidRPr="00D75BA5">
        <w:rPr>
          <w:i/>
          <w:color w:val="000000" w:themeColor="text1"/>
          <w:sz w:val="22"/>
          <w:szCs w:val="22"/>
        </w:rPr>
        <w:t>normatif</w:t>
      </w:r>
      <w:proofErr w:type="spellEnd"/>
      <w:r w:rsidRPr="00D75BA5">
        <w:rPr>
          <w:i/>
          <w:color w:val="000000" w:themeColor="text1"/>
          <w:sz w:val="22"/>
          <w:szCs w:val="22"/>
        </w:rPr>
        <w:t xml:space="preserve"> dan </w:t>
      </w:r>
      <w:proofErr w:type="spellStart"/>
      <w:r w:rsidRPr="00D75BA5">
        <w:rPr>
          <w:i/>
          <w:color w:val="000000" w:themeColor="text1"/>
          <w:sz w:val="22"/>
          <w:szCs w:val="22"/>
        </w:rPr>
        <w:t>menggunakan</w:t>
      </w:r>
      <w:proofErr w:type="spellEnd"/>
      <w:r w:rsidRPr="00D75BA5">
        <w:rPr>
          <w:i/>
          <w:color w:val="000000" w:themeColor="text1"/>
          <w:sz w:val="22"/>
          <w:szCs w:val="22"/>
        </w:rPr>
        <w:t xml:space="preserve"> </w:t>
      </w:r>
      <w:proofErr w:type="spellStart"/>
      <w:r w:rsidRPr="00D75BA5">
        <w:rPr>
          <w:i/>
          <w:color w:val="000000" w:themeColor="text1"/>
          <w:sz w:val="22"/>
          <w:szCs w:val="22"/>
        </w:rPr>
        <w:t>pendekatan</w:t>
      </w:r>
      <w:proofErr w:type="spellEnd"/>
      <w:r w:rsidRPr="00D75BA5">
        <w:rPr>
          <w:i/>
          <w:color w:val="000000" w:themeColor="text1"/>
          <w:sz w:val="22"/>
          <w:szCs w:val="22"/>
        </w:rPr>
        <w:t xml:space="preserve"> </w:t>
      </w:r>
      <w:proofErr w:type="spellStart"/>
      <w:r w:rsidRPr="00D75BA5">
        <w:rPr>
          <w:i/>
          <w:color w:val="000000" w:themeColor="text1"/>
          <w:sz w:val="22"/>
          <w:szCs w:val="22"/>
        </w:rPr>
        <w:t>hukum</w:t>
      </w:r>
      <w:proofErr w:type="spellEnd"/>
      <w:r w:rsidRPr="00D75BA5">
        <w:rPr>
          <w:i/>
          <w:color w:val="000000" w:themeColor="text1"/>
          <w:sz w:val="22"/>
          <w:szCs w:val="22"/>
        </w:rPr>
        <w:t xml:space="preserve"> </w:t>
      </w:r>
      <w:proofErr w:type="spellStart"/>
      <w:r w:rsidRPr="00D75BA5">
        <w:rPr>
          <w:i/>
          <w:color w:val="000000" w:themeColor="text1"/>
          <w:sz w:val="22"/>
          <w:szCs w:val="22"/>
        </w:rPr>
        <w:t>perundang-undangan</w:t>
      </w:r>
      <w:proofErr w:type="spellEnd"/>
      <w:r w:rsidRPr="00D75BA5">
        <w:rPr>
          <w:i/>
          <w:color w:val="000000" w:themeColor="text1"/>
          <w:sz w:val="22"/>
          <w:szCs w:val="22"/>
        </w:rPr>
        <w:t xml:space="preserve"> dan </w:t>
      </w:r>
      <w:proofErr w:type="spellStart"/>
      <w:r w:rsidRPr="00D75BA5">
        <w:rPr>
          <w:i/>
          <w:color w:val="000000" w:themeColor="text1"/>
          <w:sz w:val="22"/>
          <w:szCs w:val="22"/>
        </w:rPr>
        <w:t>perbandingan</w:t>
      </w:r>
      <w:proofErr w:type="spellEnd"/>
      <w:r w:rsidRPr="00D75BA5">
        <w:rPr>
          <w:i/>
          <w:color w:val="000000" w:themeColor="text1"/>
          <w:sz w:val="22"/>
          <w:szCs w:val="22"/>
        </w:rPr>
        <w:t xml:space="preserve">, </w:t>
      </w:r>
      <w:proofErr w:type="spellStart"/>
      <w:r w:rsidRPr="00D75BA5">
        <w:rPr>
          <w:i/>
          <w:color w:val="000000" w:themeColor="text1"/>
          <w:sz w:val="22"/>
          <w:szCs w:val="22"/>
        </w:rPr>
        <w:t>penelitian</w:t>
      </w:r>
      <w:proofErr w:type="spellEnd"/>
      <w:r w:rsidRPr="00D75BA5">
        <w:rPr>
          <w:i/>
          <w:color w:val="000000" w:themeColor="text1"/>
          <w:sz w:val="22"/>
          <w:szCs w:val="22"/>
        </w:rPr>
        <w:t xml:space="preserve"> </w:t>
      </w:r>
      <w:proofErr w:type="spellStart"/>
      <w:r w:rsidRPr="00D75BA5">
        <w:rPr>
          <w:i/>
          <w:color w:val="000000" w:themeColor="text1"/>
          <w:sz w:val="22"/>
          <w:szCs w:val="22"/>
        </w:rPr>
        <w:t>ini</w:t>
      </w:r>
      <w:proofErr w:type="spellEnd"/>
      <w:r w:rsidRPr="00D75BA5">
        <w:rPr>
          <w:i/>
          <w:color w:val="000000" w:themeColor="text1"/>
          <w:sz w:val="22"/>
          <w:szCs w:val="22"/>
        </w:rPr>
        <w:t xml:space="preserve"> </w:t>
      </w:r>
      <w:proofErr w:type="spellStart"/>
      <w:r w:rsidRPr="00D75BA5">
        <w:rPr>
          <w:i/>
          <w:color w:val="000000" w:themeColor="text1"/>
          <w:sz w:val="22"/>
          <w:szCs w:val="22"/>
        </w:rPr>
        <w:t>mengkaji</w:t>
      </w:r>
      <w:proofErr w:type="spellEnd"/>
      <w:r w:rsidRPr="00D75BA5">
        <w:rPr>
          <w:i/>
          <w:color w:val="000000" w:themeColor="text1"/>
          <w:sz w:val="22"/>
          <w:szCs w:val="22"/>
        </w:rPr>
        <w:t xml:space="preserve"> </w:t>
      </w:r>
      <w:proofErr w:type="spellStart"/>
      <w:r w:rsidRPr="00D75BA5">
        <w:rPr>
          <w:i/>
          <w:color w:val="000000" w:themeColor="text1"/>
          <w:sz w:val="22"/>
          <w:szCs w:val="22"/>
        </w:rPr>
        <w:t>dua</w:t>
      </w:r>
      <w:proofErr w:type="spellEnd"/>
      <w:r w:rsidRPr="00D75BA5">
        <w:rPr>
          <w:i/>
          <w:color w:val="000000" w:themeColor="text1"/>
          <w:sz w:val="22"/>
          <w:szCs w:val="22"/>
        </w:rPr>
        <w:t xml:space="preserve"> </w:t>
      </w:r>
      <w:proofErr w:type="spellStart"/>
      <w:r w:rsidRPr="00D75BA5">
        <w:rPr>
          <w:i/>
          <w:color w:val="000000" w:themeColor="text1"/>
          <w:sz w:val="22"/>
          <w:szCs w:val="22"/>
        </w:rPr>
        <w:t>hal</w:t>
      </w:r>
      <w:proofErr w:type="spellEnd"/>
      <w:r w:rsidRPr="00D75BA5">
        <w:rPr>
          <w:i/>
          <w:color w:val="000000" w:themeColor="text1"/>
          <w:sz w:val="22"/>
          <w:szCs w:val="22"/>
        </w:rPr>
        <w:t xml:space="preserve">. </w:t>
      </w:r>
      <w:proofErr w:type="spellStart"/>
      <w:r w:rsidRPr="00D75BA5">
        <w:rPr>
          <w:i/>
          <w:color w:val="000000" w:themeColor="text1"/>
          <w:sz w:val="22"/>
          <w:szCs w:val="22"/>
        </w:rPr>
        <w:t>Pertama</w:t>
      </w:r>
      <w:proofErr w:type="spellEnd"/>
      <w:r w:rsidRPr="00D75BA5">
        <w:rPr>
          <w:i/>
          <w:color w:val="000000" w:themeColor="text1"/>
          <w:sz w:val="22"/>
          <w:szCs w:val="22"/>
        </w:rPr>
        <w:t xml:space="preserve">, </w:t>
      </w:r>
      <w:proofErr w:type="spellStart"/>
      <w:r w:rsidRPr="00D75BA5">
        <w:rPr>
          <w:i/>
          <w:color w:val="000000" w:themeColor="text1"/>
          <w:sz w:val="22"/>
          <w:szCs w:val="22"/>
        </w:rPr>
        <w:t>bagaimana</w:t>
      </w:r>
      <w:proofErr w:type="spellEnd"/>
      <w:r w:rsidRPr="00D75BA5">
        <w:rPr>
          <w:i/>
          <w:color w:val="000000" w:themeColor="text1"/>
          <w:sz w:val="22"/>
          <w:szCs w:val="22"/>
        </w:rPr>
        <w:t xml:space="preserve"> </w:t>
      </w:r>
      <w:proofErr w:type="spellStart"/>
      <w:r w:rsidRPr="00D75BA5">
        <w:rPr>
          <w:i/>
          <w:color w:val="000000" w:themeColor="text1"/>
          <w:sz w:val="22"/>
          <w:szCs w:val="22"/>
        </w:rPr>
        <w:t>cara</w:t>
      </w:r>
      <w:proofErr w:type="spellEnd"/>
      <w:r w:rsidRPr="00D75BA5">
        <w:rPr>
          <w:i/>
          <w:color w:val="000000" w:themeColor="text1"/>
          <w:sz w:val="22"/>
          <w:szCs w:val="22"/>
        </w:rPr>
        <w:t xml:space="preserve"> </w:t>
      </w:r>
      <w:proofErr w:type="spellStart"/>
      <w:r w:rsidRPr="00D75BA5">
        <w:rPr>
          <w:i/>
          <w:color w:val="000000" w:themeColor="text1"/>
          <w:sz w:val="22"/>
          <w:szCs w:val="22"/>
        </w:rPr>
        <w:t>me</w:t>
      </w:r>
      <w:r w:rsidR="00275576">
        <w:rPr>
          <w:i/>
          <w:color w:val="000000" w:themeColor="text1"/>
          <w:sz w:val="22"/>
          <w:szCs w:val="22"/>
        </w:rPr>
        <w:t>ngkaji</w:t>
      </w:r>
      <w:proofErr w:type="spellEnd"/>
      <w:r w:rsidRPr="00D75BA5">
        <w:rPr>
          <w:i/>
          <w:color w:val="000000" w:themeColor="text1"/>
          <w:sz w:val="22"/>
          <w:szCs w:val="22"/>
        </w:rPr>
        <w:t xml:space="preserve"> </w:t>
      </w:r>
      <w:proofErr w:type="spellStart"/>
      <w:r w:rsidRPr="00D75BA5">
        <w:rPr>
          <w:i/>
          <w:color w:val="000000" w:themeColor="text1"/>
          <w:sz w:val="22"/>
          <w:szCs w:val="22"/>
        </w:rPr>
        <w:t>pelanggaran</w:t>
      </w:r>
      <w:proofErr w:type="spellEnd"/>
      <w:r w:rsidRPr="00D75BA5">
        <w:rPr>
          <w:i/>
          <w:color w:val="000000" w:themeColor="text1"/>
          <w:sz w:val="22"/>
          <w:szCs w:val="22"/>
        </w:rPr>
        <w:t xml:space="preserve"> “Data</w:t>
      </w:r>
      <w:r w:rsidR="008B52C8">
        <w:rPr>
          <w:i/>
          <w:color w:val="000000" w:themeColor="text1"/>
          <w:sz w:val="22"/>
          <w:szCs w:val="22"/>
        </w:rPr>
        <w:t xml:space="preserve"> Breach</w:t>
      </w:r>
      <w:r w:rsidRPr="00D75BA5">
        <w:rPr>
          <w:i/>
          <w:color w:val="000000" w:themeColor="text1"/>
          <w:sz w:val="22"/>
          <w:szCs w:val="22"/>
        </w:rPr>
        <w:t xml:space="preserve">” yang </w:t>
      </w:r>
      <w:proofErr w:type="spellStart"/>
      <w:r w:rsidRPr="00D75BA5">
        <w:rPr>
          <w:i/>
          <w:color w:val="000000" w:themeColor="text1"/>
          <w:sz w:val="22"/>
          <w:szCs w:val="22"/>
        </w:rPr>
        <w:t>dilakukan</w:t>
      </w:r>
      <w:proofErr w:type="spellEnd"/>
      <w:r w:rsidRPr="00D75BA5">
        <w:rPr>
          <w:i/>
          <w:color w:val="000000" w:themeColor="text1"/>
          <w:sz w:val="22"/>
          <w:szCs w:val="22"/>
        </w:rPr>
        <w:t xml:space="preserve"> oleh </w:t>
      </w:r>
      <w:proofErr w:type="spellStart"/>
      <w:r w:rsidRPr="00D75BA5">
        <w:rPr>
          <w:i/>
          <w:color w:val="000000" w:themeColor="text1"/>
          <w:sz w:val="22"/>
          <w:szCs w:val="22"/>
        </w:rPr>
        <w:t>pen</w:t>
      </w:r>
      <w:r w:rsidR="00EB17A3">
        <w:rPr>
          <w:i/>
          <w:color w:val="000000" w:themeColor="text1"/>
          <w:sz w:val="22"/>
          <w:szCs w:val="22"/>
        </w:rPr>
        <w:t>gendali</w:t>
      </w:r>
      <w:proofErr w:type="spellEnd"/>
      <w:r w:rsidR="00EB17A3">
        <w:rPr>
          <w:i/>
          <w:color w:val="000000" w:themeColor="text1"/>
          <w:sz w:val="22"/>
          <w:szCs w:val="22"/>
        </w:rPr>
        <w:t xml:space="preserve"> data </w:t>
      </w:r>
      <w:proofErr w:type="spellStart"/>
      <w:r w:rsidR="00EB17A3" w:rsidRPr="00890983">
        <w:rPr>
          <w:i/>
          <w:color w:val="000000" w:themeColor="text1"/>
          <w:sz w:val="22"/>
          <w:szCs w:val="22"/>
        </w:rPr>
        <w:t>pribadi</w:t>
      </w:r>
      <w:proofErr w:type="spellEnd"/>
      <w:r w:rsidRPr="00890983">
        <w:rPr>
          <w:i/>
          <w:color w:val="000000" w:themeColor="text1"/>
          <w:sz w:val="22"/>
          <w:szCs w:val="22"/>
        </w:rPr>
        <w:t xml:space="preserve">? </w:t>
      </w:r>
      <w:proofErr w:type="spellStart"/>
      <w:r w:rsidRPr="00890983">
        <w:rPr>
          <w:i/>
          <w:color w:val="000000" w:themeColor="text1"/>
          <w:sz w:val="22"/>
          <w:szCs w:val="22"/>
        </w:rPr>
        <w:t>Kedua</w:t>
      </w:r>
      <w:proofErr w:type="spellEnd"/>
      <w:r w:rsidRPr="00890983">
        <w:rPr>
          <w:i/>
          <w:color w:val="000000" w:themeColor="text1"/>
          <w:sz w:val="22"/>
          <w:szCs w:val="22"/>
        </w:rPr>
        <w:t xml:space="preserve">, </w:t>
      </w:r>
      <w:proofErr w:type="spellStart"/>
      <w:r w:rsidRPr="00890983">
        <w:rPr>
          <w:i/>
          <w:color w:val="000000" w:themeColor="text1"/>
          <w:sz w:val="22"/>
          <w:szCs w:val="22"/>
        </w:rPr>
        <w:t>bagaimana</w:t>
      </w:r>
      <w:proofErr w:type="spellEnd"/>
      <w:r w:rsidRPr="00890983">
        <w:rPr>
          <w:i/>
          <w:color w:val="000000" w:themeColor="text1"/>
          <w:sz w:val="22"/>
          <w:szCs w:val="22"/>
        </w:rPr>
        <w:t xml:space="preserve"> </w:t>
      </w:r>
      <w:proofErr w:type="spellStart"/>
      <w:r w:rsidRPr="00890983">
        <w:rPr>
          <w:i/>
          <w:color w:val="000000" w:themeColor="text1"/>
          <w:sz w:val="22"/>
          <w:szCs w:val="22"/>
        </w:rPr>
        <w:t>mengidentifikasi</w:t>
      </w:r>
      <w:proofErr w:type="spellEnd"/>
      <w:r w:rsidRPr="00890983">
        <w:rPr>
          <w:i/>
          <w:color w:val="000000" w:themeColor="text1"/>
          <w:sz w:val="22"/>
          <w:szCs w:val="22"/>
        </w:rPr>
        <w:t xml:space="preserve"> modus operandi “Data</w:t>
      </w:r>
      <w:r w:rsidR="00EB17A3" w:rsidRPr="00890983">
        <w:rPr>
          <w:i/>
          <w:color w:val="000000" w:themeColor="text1"/>
          <w:sz w:val="22"/>
          <w:szCs w:val="22"/>
        </w:rPr>
        <w:t xml:space="preserve"> Theft</w:t>
      </w:r>
      <w:r w:rsidRPr="00890983">
        <w:rPr>
          <w:i/>
          <w:color w:val="000000" w:themeColor="text1"/>
          <w:sz w:val="22"/>
          <w:szCs w:val="22"/>
        </w:rPr>
        <w:t xml:space="preserve">” yang </w:t>
      </w:r>
      <w:proofErr w:type="spellStart"/>
      <w:r w:rsidRPr="00890983">
        <w:rPr>
          <w:i/>
          <w:color w:val="000000" w:themeColor="text1"/>
          <w:sz w:val="22"/>
          <w:szCs w:val="22"/>
        </w:rPr>
        <w:t>dilakukan</w:t>
      </w:r>
      <w:proofErr w:type="spellEnd"/>
      <w:r w:rsidRPr="00890983">
        <w:rPr>
          <w:i/>
          <w:color w:val="000000" w:themeColor="text1"/>
          <w:sz w:val="22"/>
          <w:szCs w:val="22"/>
        </w:rPr>
        <w:t xml:space="preserve"> oleh </w:t>
      </w:r>
      <w:proofErr w:type="spellStart"/>
      <w:r w:rsidRPr="00890983">
        <w:rPr>
          <w:i/>
          <w:color w:val="000000" w:themeColor="text1"/>
          <w:sz w:val="22"/>
          <w:szCs w:val="22"/>
        </w:rPr>
        <w:t>pelaku</w:t>
      </w:r>
      <w:proofErr w:type="spellEnd"/>
      <w:r w:rsidR="00EB17A3" w:rsidRPr="00890983">
        <w:rPr>
          <w:i/>
          <w:color w:val="000000" w:themeColor="text1"/>
          <w:sz w:val="22"/>
          <w:szCs w:val="22"/>
        </w:rPr>
        <w:t xml:space="preserve"> </w:t>
      </w:r>
      <w:proofErr w:type="spellStart"/>
      <w:r w:rsidR="00EB17A3" w:rsidRPr="00890983">
        <w:rPr>
          <w:i/>
          <w:color w:val="000000" w:themeColor="text1"/>
          <w:sz w:val="22"/>
          <w:szCs w:val="22"/>
        </w:rPr>
        <w:t>kejahatan</w:t>
      </w:r>
      <w:proofErr w:type="spellEnd"/>
      <w:r w:rsidR="00593196" w:rsidRPr="00890983">
        <w:rPr>
          <w:i/>
          <w:color w:val="000000" w:themeColor="text1"/>
          <w:sz w:val="22"/>
          <w:szCs w:val="22"/>
        </w:rPr>
        <w:t xml:space="preserve"> </w:t>
      </w:r>
      <w:proofErr w:type="spellStart"/>
      <w:r w:rsidR="00593196" w:rsidRPr="00890983">
        <w:rPr>
          <w:i/>
          <w:color w:val="000000" w:themeColor="text1"/>
          <w:sz w:val="22"/>
          <w:szCs w:val="22"/>
        </w:rPr>
        <w:t>serta</w:t>
      </w:r>
      <w:proofErr w:type="spellEnd"/>
      <w:r w:rsidR="00593196" w:rsidRPr="00890983">
        <w:rPr>
          <w:i/>
          <w:color w:val="000000" w:themeColor="text1"/>
          <w:sz w:val="22"/>
          <w:szCs w:val="22"/>
        </w:rPr>
        <w:t xml:space="preserve"> </w:t>
      </w:r>
      <w:proofErr w:type="spellStart"/>
      <w:r w:rsidR="00593196" w:rsidRPr="00890983">
        <w:rPr>
          <w:i/>
          <w:color w:val="000000" w:themeColor="text1"/>
          <w:sz w:val="22"/>
          <w:szCs w:val="22"/>
        </w:rPr>
        <w:t>upaya</w:t>
      </w:r>
      <w:proofErr w:type="spellEnd"/>
      <w:r w:rsidR="00593196" w:rsidRPr="00890983">
        <w:rPr>
          <w:i/>
          <w:color w:val="000000" w:themeColor="text1"/>
          <w:sz w:val="22"/>
          <w:szCs w:val="22"/>
        </w:rPr>
        <w:t xml:space="preserve"> </w:t>
      </w:r>
      <w:proofErr w:type="spellStart"/>
      <w:r w:rsidR="00593196" w:rsidRPr="00890983">
        <w:rPr>
          <w:i/>
          <w:color w:val="000000" w:themeColor="text1"/>
          <w:sz w:val="22"/>
          <w:szCs w:val="22"/>
        </w:rPr>
        <w:t>perlindungannya</w:t>
      </w:r>
      <w:proofErr w:type="spellEnd"/>
      <w:r w:rsidRPr="00890983">
        <w:rPr>
          <w:i/>
          <w:color w:val="000000" w:themeColor="text1"/>
          <w:sz w:val="22"/>
          <w:szCs w:val="22"/>
        </w:rPr>
        <w:t xml:space="preserve">? </w:t>
      </w:r>
      <w:proofErr w:type="spellStart"/>
      <w:r w:rsidRPr="00890983">
        <w:rPr>
          <w:i/>
          <w:color w:val="000000" w:themeColor="text1"/>
          <w:sz w:val="22"/>
          <w:szCs w:val="22"/>
        </w:rPr>
        <w:t>Penelitian</w:t>
      </w:r>
      <w:proofErr w:type="spellEnd"/>
      <w:r w:rsidRPr="00890983">
        <w:rPr>
          <w:i/>
          <w:color w:val="000000" w:themeColor="text1"/>
          <w:sz w:val="22"/>
          <w:szCs w:val="22"/>
        </w:rPr>
        <w:t xml:space="preserve"> </w:t>
      </w:r>
      <w:proofErr w:type="spellStart"/>
      <w:r w:rsidRPr="00890983">
        <w:rPr>
          <w:i/>
          <w:color w:val="000000" w:themeColor="text1"/>
          <w:sz w:val="22"/>
          <w:szCs w:val="22"/>
        </w:rPr>
        <w:t>ini</w:t>
      </w:r>
      <w:proofErr w:type="spellEnd"/>
      <w:r w:rsidRPr="00890983">
        <w:rPr>
          <w:i/>
          <w:color w:val="000000" w:themeColor="text1"/>
          <w:sz w:val="22"/>
          <w:szCs w:val="22"/>
        </w:rPr>
        <w:t xml:space="preserve"> </w:t>
      </w:r>
      <w:proofErr w:type="spellStart"/>
      <w:r w:rsidRPr="00890983">
        <w:rPr>
          <w:i/>
          <w:color w:val="000000" w:themeColor="text1"/>
          <w:sz w:val="22"/>
          <w:szCs w:val="22"/>
        </w:rPr>
        <w:t>menyimpulkan</w:t>
      </w:r>
      <w:proofErr w:type="spellEnd"/>
      <w:r w:rsidRPr="00890983">
        <w:rPr>
          <w:i/>
          <w:color w:val="000000" w:themeColor="text1"/>
          <w:sz w:val="22"/>
          <w:szCs w:val="22"/>
        </w:rPr>
        <w:t xml:space="preserve"> </w:t>
      </w:r>
      <w:proofErr w:type="spellStart"/>
      <w:r w:rsidRPr="00890983">
        <w:rPr>
          <w:i/>
          <w:color w:val="000000" w:themeColor="text1"/>
          <w:sz w:val="22"/>
          <w:szCs w:val="22"/>
        </w:rPr>
        <w:t>bahwa</w:t>
      </w:r>
      <w:proofErr w:type="spellEnd"/>
      <w:r w:rsidRPr="00890983">
        <w:rPr>
          <w:i/>
          <w:color w:val="000000" w:themeColor="text1"/>
          <w:sz w:val="22"/>
          <w:szCs w:val="22"/>
        </w:rPr>
        <w:t xml:space="preserve"> </w:t>
      </w:r>
      <w:r w:rsidR="00890983" w:rsidRPr="00890983">
        <w:rPr>
          <w:i/>
          <w:color w:val="000000" w:themeColor="text1"/>
          <w:sz w:val="22"/>
          <w:szCs w:val="22"/>
        </w:rPr>
        <w:t>“Data Breach”</w:t>
      </w:r>
      <w:r w:rsidRPr="00890983">
        <w:rPr>
          <w:i/>
          <w:color w:val="000000" w:themeColor="text1"/>
          <w:sz w:val="22"/>
          <w:szCs w:val="22"/>
        </w:rPr>
        <w:t xml:space="preserve"> </w:t>
      </w:r>
      <w:proofErr w:type="spellStart"/>
      <w:r w:rsidRPr="00890983">
        <w:rPr>
          <w:i/>
          <w:color w:val="000000" w:themeColor="text1"/>
          <w:sz w:val="22"/>
          <w:szCs w:val="22"/>
        </w:rPr>
        <w:t>dapat</w:t>
      </w:r>
      <w:proofErr w:type="spellEnd"/>
      <w:r w:rsidRPr="00890983">
        <w:rPr>
          <w:i/>
          <w:color w:val="000000" w:themeColor="text1"/>
          <w:sz w:val="22"/>
          <w:szCs w:val="22"/>
        </w:rPr>
        <w:t xml:space="preserve"> </w:t>
      </w:r>
      <w:proofErr w:type="spellStart"/>
      <w:r w:rsidRPr="00890983">
        <w:rPr>
          <w:i/>
          <w:color w:val="000000" w:themeColor="text1"/>
          <w:sz w:val="22"/>
          <w:szCs w:val="22"/>
        </w:rPr>
        <w:t>terjadi</w:t>
      </w:r>
      <w:proofErr w:type="spellEnd"/>
      <w:r w:rsidRPr="00890983">
        <w:rPr>
          <w:i/>
          <w:color w:val="000000" w:themeColor="text1"/>
          <w:sz w:val="22"/>
          <w:szCs w:val="22"/>
        </w:rPr>
        <w:t xml:space="preserve"> </w:t>
      </w:r>
      <w:proofErr w:type="spellStart"/>
      <w:r w:rsidRPr="00890983">
        <w:rPr>
          <w:i/>
          <w:color w:val="000000" w:themeColor="text1"/>
          <w:sz w:val="22"/>
          <w:szCs w:val="22"/>
        </w:rPr>
        <w:t>karena</w:t>
      </w:r>
      <w:proofErr w:type="spellEnd"/>
      <w:r w:rsidRPr="00890983">
        <w:rPr>
          <w:i/>
          <w:color w:val="000000" w:themeColor="text1"/>
          <w:sz w:val="22"/>
          <w:szCs w:val="22"/>
        </w:rPr>
        <w:t xml:space="preserve"> "</w:t>
      </w:r>
      <w:proofErr w:type="spellStart"/>
      <w:r w:rsidRPr="00890983">
        <w:rPr>
          <w:i/>
          <w:color w:val="000000" w:themeColor="text1"/>
          <w:sz w:val="22"/>
          <w:szCs w:val="22"/>
        </w:rPr>
        <w:t>kecerobohan</w:t>
      </w:r>
      <w:proofErr w:type="spellEnd"/>
      <w:r w:rsidRPr="00890983">
        <w:rPr>
          <w:i/>
          <w:color w:val="000000" w:themeColor="text1"/>
          <w:sz w:val="22"/>
          <w:szCs w:val="22"/>
        </w:rPr>
        <w:t xml:space="preserve">" </w:t>
      </w:r>
      <w:proofErr w:type="spellStart"/>
      <w:r w:rsidRPr="00890983">
        <w:rPr>
          <w:i/>
          <w:color w:val="000000" w:themeColor="text1"/>
          <w:sz w:val="22"/>
          <w:szCs w:val="22"/>
        </w:rPr>
        <w:t>atau</w:t>
      </w:r>
      <w:proofErr w:type="spellEnd"/>
      <w:r w:rsidRPr="00890983">
        <w:rPr>
          <w:i/>
          <w:color w:val="000000" w:themeColor="text1"/>
          <w:sz w:val="22"/>
          <w:szCs w:val="22"/>
        </w:rPr>
        <w:t xml:space="preserve"> "</w:t>
      </w:r>
      <w:proofErr w:type="spellStart"/>
      <w:r w:rsidRPr="00890983">
        <w:rPr>
          <w:i/>
          <w:color w:val="000000" w:themeColor="text1"/>
          <w:sz w:val="22"/>
          <w:szCs w:val="22"/>
        </w:rPr>
        <w:t>itikad</w:t>
      </w:r>
      <w:proofErr w:type="spellEnd"/>
      <w:r w:rsidRPr="00890983">
        <w:rPr>
          <w:i/>
          <w:color w:val="000000" w:themeColor="text1"/>
          <w:sz w:val="22"/>
          <w:szCs w:val="22"/>
        </w:rPr>
        <w:t xml:space="preserve"> </w:t>
      </w:r>
      <w:proofErr w:type="spellStart"/>
      <w:r w:rsidRPr="00890983">
        <w:rPr>
          <w:i/>
          <w:color w:val="000000" w:themeColor="text1"/>
          <w:sz w:val="22"/>
          <w:szCs w:val="22"/>
        </w:rPr>
        <w:t>buruk</w:t>
      </w:r>
      <w:proofErr w:type="spellEnd"/>
      <w:r w:rsidRPr="00890983">
        <w:rPr>
          <w:i/>
          <w:color w:val="000000" w:themeColor="text1"/>
          <w:sz w:val="22"/>
          <w:szCs w:val="22"/>
        </w:rPr>
        <w:t xml:space="preserve">" </w:t>
      </w:r>
      <w:proofErr w:type="spellStart"/>
      <w:r w:rsidRPr="00890983">
        <w:rPr>
          <w:i/>
          <w:color w:val="000000" w:themeColor="text1"/>
          <w:sz w:val="22"/>
          <w:szCs w:val="22"/>
        </w:rPr>
        <w:t>dari</w:t>
      </w:r>
      <w:proofErr w:type="spellEnd"/>
      <w:r w:rsidRPr="00890983">
        <w:rPr>
          <w:i/>
          <w:color w:val="000000" w:themeColor="text1"/>
          <w:sz w:val="22"/>
          <w:szCs w:val="22"/>
        </w:rPr>
        <w:t xml:space="preserve"> </w:t>
      </w:r>
      <w:proofErr w:type="spellStart"/>
      <w:r w:rsidRPr="00890983">
        <w:rPr>
          <w:i/>
          <w:color w:val="000000" w:themeColor="text1"/>
          <w:sz w:val="22"/>
          <w:szCs w:val="22"/>
        </w:rPr>
        <w:t>penge</w:t>
      </w:r>
      <w:r w:rsidR="00890983" w:rsidRPr="00890983">
        <w:rPr>
          <w:i/>
          <w:color w:val="000000" w:themeColor="text1"/>
          <w:sz w:val="22"/>
          <w:szCs w:val="22"/>
        </w:rPr>
        <w:t>ndali</w:t>
      </w:r>
      <w:proofErr w:type="spellEnd"/>
      <w:r w:rsidR="00890983" w:rsidRPr="00890983">
        <w:rPr>
          <w:i/>
          <w:color w:val="000000" w:themeColor="text1"/>
          <w:sz w:val="22"/>
          <w:szCs w:val="22"/>
        </w:rPr>
        <w:t xml:space="preserve"> data </w:t>
      </w:r>
      <w:proofErr w:type="spellStart"/>
      <w:r w:rsidR="00890983" w:rsidRPr="00890983">
        <w:rPr>
          <w:i/>
          <w:color w:val="000000" w:themeColor="text1"/>
          <w:sz w:val="22"/>
          <w:szCs w:val="22"/>
        </w:rPr>
        <w:t>pribadi</w:t>
      </w:r>
      <w:proofErr w:type="spellEnd"/>
      <w:r w:rsidRPr="00890983">
        <w:rPr>
          <w:i/>
          <w:color w:val="000000" w:themeColor="text1"/>
          <w:sz w:val="22"/>
          <w:szCs w:val="22"/>
        </w:rPr>
        <w:t xml:space="preserve">, </w:t>
      </w:r>
      <w:proofErr w:type="spellStart"/>
      <w:r w:rsidRPr="00890983">
        <w:rPr>
          <w:i/>
          <w:color w:val="000000" w:themeColor="text1"/>
          <w:sz w:val="22"/>
          <w:szCs w:val="22"/>
        </w:rPr>
        <w:t>seperti</w:t>
      </w:r>
      <w:proofErr w:type="spellEnd"/>
      <w:r w:rsidRPr="00890983">
        <w:rPr>
          <w:i/>
          <w:color w:val="000000" w:themeColor="text1"/>
          <w:sz w:val="22"/>
          <w:szCs w:val="22"/>
        </w:rPr>
        <w:t xml:space="preserve"> </w:t>
      </w:r>
      <w:proofErr w:type="spellStart"/>
      <w:r w:rsidRPr="00890983">
        <w:rPr>
          <w:i/>
          <w:color w:val="000000" w:themeColor="text1"/>
          <w:sz w:val="22"/>
          <w:szCs w:val="22"/>
        </w:rPr>
        <w:t>kelalaian</w:t>
      </w:r>
      <w:proofErr w:type="spellEnd"/>
      <w:r w:rsidRPr="00890983">
        <w:rPr>
          <w:i/>
          <w:color w:val="000000" w:themeColor="text1"/>
          <w:sz w:val="22"/>
          <w:szCs w:val="22"/>
        </w:rPr>
        <w:t xml:space="preserve"> </w:t>
      </w:r>
      <w:proofErr w:type="spellStart"/>
      <w:r w:rsidRPr="00890983">
        <w:rPr>
          <w:i/>
          <w:color w:val="000000" w:themeColor="text1"/>
          <w:sz w:val="22"/>
          <w:szCs w:val="22"/>
        </w:rPr>
        <w:t>karyawan</w:t>
      </w:r>
      <w:proofErr w:type="spellEnd"/>
      <w:r w:rsidRPr="00890983">
        <w:rPr>
          <w:i/>
          <w:color w:val="000000" w:themeColor="text1"/>
          <w:sz w:val="22"/>
          <w:szCs w:val="22"/>
        </w:rPr>
        <w:t xml:space="preserve"> yang </w:t>
      </w:r>
      <w:proofErr w:type="spellStart"/>
      <w:r w:rsidRPr="00890983">
        <w:rPr>
          <w:i/>
          <w:color w:val="000000" w:themeColor="text1"/>
          <w:sz w:val="22"/>
          <w:szCs w:val="22"/>
        </w:rPr>
        <w:t>ceroboh</w:t>
      </w:r>
      <w:proofErr w:type="spellEnd"/>
      <w:r w:rsidRPr="00890983">
        <w:rPr>
          <w:i/>
          <w:color w:val="000000" w:themeColor="text1"/>
          <w:sz w:val="22"/>
          <w:szCs w:val="22"/>
        </w:rPr>
        <w:t xml:space="preserve"> </w:t>
      </w:r>
      <w:proofErr w:type="spellStart"/>
      <w:r w:rsidRPr="00890983">
        <w:rPr>
          <w:i/>
          <w:color w:val="000000" w:themeColor="text1"/>
          <w:sz w:val="22"/>
          <w:szCs w:val="22"/>
        </w:rPr>
        <w:t>sehingga</w:t>
      </w:r>
      <w:proofErr w:type="spellEnd"/>
      <w:r w:rsidRPr="00890983">
        <w:rPr>
          <w:i/>
          <w:color w:val="000000" w:themeColor="text1"/>
          <w:sz w:val="22"/>
          <w:szCs w:val="22"/>
        </w:rPr>
        <w:t xml:space="preserve"> data </w:t>
      </w:r>
      <w:proofErr w:type="spellStart"/>
      <w:r w:rsidRPr="00890983">
        <w:rPr>
          <w:i/>
          <w:color w:val="000000" w:themeColor="text1"/>
          <w:sz w:val="22"/>
          <w:szCs w:val="22"/>
        </w:rPr>
        <w:t>tidak</w:t>
      </w:r>
      <w:proofErr w:type="spellEnd"/>
      <w:r w:rsidRPr="00890983">
        <w:rPr>
          <w:i/>
          <w:color w:val="000000" w:themeColor="text1"/>
          <w:sz w:val="22"/>
          <w:szCs w:val="22"/>
        </w:rPr>
        <w:t xml:space="preserve"> </w:t>
      </w:r>
      <w:proofErr w:type="spellStart"/>
      <w:r w:rsidRPr="00890983">
        <w:rPr>
          <w:i/>
          <w:color w:val="000000" w:themeColor="text1"/>
          <w:sz w:val="22"/>
          <w:szCs w:val="22"/>
        </w:rPr>
        <w:t>sengaja</w:t>
      </w:r>
      <w:proofErr w:type="spellEnd"/>
      <w:r w:rsidRPr="00890983">
        <w:rPr>
          <w:i/>
          <w:color w:val="000000" w:themeColor="text1"/>
          <w:sz w:val="22"/>
          <w:szCs w:val="22"/>
        </w:rPr>
        <w:t xml:space="preserve"> </w:t>
      </w:r>
      <w:proofErr w:type="spellStart"/>
      <w:r w:rsidRPr="00890983">
        <w:rPr>
          <w:i/>
          <w:color w:val="000000" w:themeColor="text1"/>
          <w:sz w:val="22"/>
          <w:szCs w:val="22"/>
        </w:rPr>
        <w:t>terse</w:t>
      </w:r>
      <w:r w:rsidRPr="00D75BA5">
        <w:rPr>
          <w:i/>
          <w:color w:val="000000" w:themeColor="text1"/>
          <w:sz w:val="22"/>
          <w:szCs w:val="22"/>
        </w:rPr>
        <w:t>bar</w:t>
      </w:r>
      <w:proofErr w:type="spellEnd"/>
      <w:r w:rsidRPr="00D75BA5">
        <w:rPr>
          <w:i/>
          <w:color w:val="000000" w:themeColor="text1"/>
          <w:sz w:val="22"/>
          <w:szCs w:val="22"/>
        </w:rPr>
        <w:t xml:space="preserve">. </w:t>
      </w:r>
      <w:proofErr w:type="spellStart"/>
      <w:r w:rsidRPr="00D75BA5">
        <w:rPr>
          <w:i/>
          <w:color w:val="000000" w:themeColor="text1"/>
          <w:sz w:val="22"/>
          <w:szCs w:val="22"/>
        </w:rPr>
        <w:t>Sedangkan</w:t>
      </w:r>
      <w:proofErr w:type="spellEnd"/>
      <w:r w:rsidRPr="00D75BA5">
        <w:rPr>
          <w:i/>
          <w:color w:val="000000" w:themeColor="text1"/>
          <w:sz w:val="22"/>
          <w:szCs w:val="22"/>
        </w:rPr>
        <w:t xml:space="preserve"> </w:t>
      </w:r>
      <w:proofErr w:type="spellStart"/>
      <w:r w:rsidRPr="00D75BA5">
        <w:rPr>
          <w:i/>
          <w:color w:val="000000" w:themeColor="text1"/>
          <w:sz w:val="22"/>
          <w:szCs w:val="22"/>
        </w:rPr>
        <w:t>itikad</w:t>
      </w:r>
      <w:proofErr w:type="spellEnd"/>
      <w:r w:rsidRPr="00D75BA5">
        <w:rPr>
          <w:i/>
          <w:color w:val="000000" w:themeColor="text1"/>
          <w:sz w:val="22"/>
          <w:szCs w:val="22"/>
        </w:rPr>
        <w:t xml:space="preserve"> </w:t>
      </w:r>
      <w:proofErr w:type="spellStart"/>
      <w:r w:rsidRPr="00D75BA5">
        <w:rPr>
          <w:i/>
          <w:color w:val="000000" w:themeColor="text1"/>
          <w:sz w:val="22"/>
          <w:szCs w:val="22"/>
        </w:rPr>
        <w:t>buruk</w:t>
      </w:r>
      <w:proofErr w:type="spellEnd"/>
      <w:r w:rsidRPr="00D75BA5">
        <w:rPr>
          <w:i/>
          <w:color w:val="000000" w:themeColor="text1"/>
          <w:sz w:val="22"/>
          <w:szCs w:val="22"/>
        </w:rPr>
        <w:t xml:space="preserve"> </w:t>
      </w:r>
      <w:proofErr w:type="spellStart"/>
      <w:r w:rsidRPr="00D75BA5">
        <w:rPr>
          <w:i/>
          <w:color w:val="000000" w:themeColor="text1"/>
          <w:sz w:val="22"/>
          <w:szCs w:val="22"/>
        </w:rPr>
        <w:t>dapat</w:t>
      </w:r>
      <w:proofErr w:type="spellEnd"/>
      <w:r w:rsidRPr="00D75BA5">
        <w:rPr>
          <w:i/>
          <w:color w:val="000000" w:themeColor="text1"/>
          <w:sz w:val="22"/>
          <w:szCs w:val="22"/>
        </w:rPr>
        <w:t xml:space="preserve"> </w:t>
      </w:r>
      <w:proofErr w:type="spellStart"/>
      <w:r w:rsidRPr="00D75BA5">
        <w:rPr>
          <w:i/>
          <w:color w:val="000000" w:themeColor="text1"/>
          <w:sz w:val="22"/>
          <w:szCs w:val="22"/>
        </w:rPr>
        <w:t>dengan</w:t>
      </w:r>
      <w:proofErr w:type="spellEnd"/>
      <w:r w:rsidRPr="00D75BA5">
        <w:rPr>
          <w:i/>
          <w:color w:val="000000" w:themeColor="text1"/>
          <w:sz w:val="22"/>
          <w:szCs w:val="22"/>
        </w:rPr>
        <w:t xml:space="preserve"> </w:t>
      </w:r>
      <w:proofErr w:type="spellStart"/>
      <w:r w:rsidRPr="00D75BA5">
        <w:rPr>
          <w:i/>
          <w:color w:val="000000" w:themeColor="text1"/>
          <w:sz w:val="22"/>
          <w:szCs w:val="22"/>
        </w:rPr>
        <w:t>sengaja</w:t>
      </w:r>
      <w:proofErr w:type="spellEnd"/>
      <w:r w:rsidRPr="00D75BA5">
        <w:rPr>
          <w:i/>
          <w:color w:val="000000" w:themeColor="text1"/>
          <w:sz w:val="22"/>
          <w:szCs w:val="22"/>
        </w:rPr>
        <w:t xml:space="preserve"> </w:t>
      </w:r>
      <w:proofErr w:type="spellStart"/>
      <w:r w:rsidRPr="00D75BA5">
        <w:rPr>
          <w:i/>
          <w:color w:val="000000" w:themeColor="text1"/>
          <w:sz w:val="22"/>
          <w:szCs w:val="22"/>
        </w:rPr>
        <w:t>mengolah</w:t>
      </w:r>
      <w:proofErr w:type="spellEnd"/>
      <w:r w:rsidRPr="00D75BA5">
        <w:rPr>
          <w:i/>
          <w:color w:val="000000" w:themeColor="text1"/>
          <w:sz w:val="22"/>
          <w:szCs w:val="22"/>
        </w:rPr>
        <w:t xml:space="preserve"> data </w:t>
      </w:r>
      <w:proofErr w:type="spellStart"/>
      <w:r w:rsidRPr="00D75BA5">
        <w:rPr>
          <w:i/>
          <w:color w:val="000000" w:themeColor="text1"/>
          <w:sz w:val="22"/>
          <w:szCs w:val="22"/>
        </w:rPr>
        <w:t>untuk</w:t>
      </w:r>
      <w:proofErr w:type="spellEnd"/>
      <w:r w:rsidRPr="00D75BA5">
        <w:rPr>
          <w:i/>
          <w:color w:val="000000" w:themeColor="text1"/>
          <w:sz w:val="22"/>
          <w:szCs w:val="22"/>
        </w:rPr>
        <w:t xml:space="preserve"> </w:t>
      </w:r>
      <w:proofErr w:type="spellStart"/>
      <w:r w:rsidRPr="00D75BA5">
        <w:rPr>
          <w:i/>
          <w:color w:val="000000" w:themeColor="text1"/>
          <w:sz w:val="22"/>
          <w:szCs w:val="22"/>
        </w:rPr>
        <w:t>tujuan</w:t>
      </w:r>
      <w:proofErr w:type="spellEnd"/>
      <w:r w:rsidRPr="00D75BA5">
        <w:rPr>
          <w:i/>
          <w:color w:val="000000" w:themeColor="text1"/>
          <w:sz w:val="22"/>
          <w:szCs w:val="22"/>
        </w:rPr>
        <w:t xml:space="preserve"> </w:t>
      </w:r>
      <w:proofErr w:type="spellStart"/>
      <w:r w:rsidRPr="00D75BA5">
        <w:rPr>
          <w:i/>
          <w:color w:val="000000" w:themeColor="text1"/>
          <w:sz w:val="22"/>
          <w:szCs w:val="22"/>
        </w:rPr>
        <w:t>komersial</w:t>
      </w:r>
      <w:proofErr w:type="spellEnd"/>
      <w:r w:rsidRPr="00D75BA5">
        <w:rPr>
          <w:i/>
          <w:color w:val="000000" w:themeColor="text1"/>
          <w:sz w:val="22"/>
          <w:szCs w:val="22"/>
        </w:rPr>
        <w:t xml:space="preserve">, </w:t>
      </w:r>
      <w:proofErr w:type="spellStart"/>
      <w:r w:rsidRPr="00D75BA5">
        <w:rPr>
          <w:i/>
          <w:color w:val="000000" w:themeColor="text1"/>
          <w:sz w:val="22"/>
          <w:szCs w:val="22"/>
        </w:rPr>
        <w:t>baik</w:t>
      </w:r>
      <w:proofErr w:type="spellEnd"/>
      <w:r w:rsidRPr="00D75BA5">
        <w:rPr>
          <w:i/>
          <w:color w:val="000000" w:themeColor="text1"/>
          <w:sz w:val="22"/>
          <w:szCs w:val="22"/>
        </w:rPr>
        <w:t xml:space="preserve"> </w:t>
      </w:r>
      <w:proofErr w:type="spellStart"/>
      <w:r w:rsidRPr="00D75BA5">
        <w:rPr>
          <w:i/>
          <w:color w:val="000000" w:themeColor="text1"/>
          <w:sz w:val="22"/>
          <w:szCs w:val="22"/>
        </w:rPr>
        <w:t>dengan</w:t>
      </w:r>
      <w:proofErr w:type="spellEnd"/>
      <w:r w:rsidRPr="00D75BA5">
        <w:rPr>
          <w:i/>
          <w:color w:val="000000" w:themeColor="text1"/>
          <w:sz w:val="22"/>
          <w:szCs w:val="22"/>
        </w:rPr>
        <w:t xml:space="preserve"> </w:t>
      </w:r>
      <w:proofErr w:type="spellStart"/>
      <w:r w:rsidRPr="00D75BA5">
        <w:rPr>
          <w:i/>
          <w:color w:val="000000" w:themeColor="text1"/>
          <w:sz w:val="22"/>
          <w:szCs w:val="22"/>
        </w:rPr>
        <w:t>mengolahnya</w:t>
      </w:r>
      <w:proofErr w:type="spellEnd"/>
      <w:r w:rsidRPr="00D75BA5">
        <w:rPr>
          <w:i/>
          <w:color w:val="000000" w:themeColor="text1"/>
          <w:sz w:val="22"/>
          <w:szCs w:val="22"/>
        </w:rPr>
        <w:t xml:space="preserve"> </w:t>
      </w:r>
      <w:proofErr w:type="spellStart"/>
      <w:r w:rsidRPr="00D75BA5">
        <w:rPr>
          <w:i/>
          <w:color w:val="000000" w:themeColor="text1"/>
          <w:sz w:val="22"/>
          <w:szCs w:val="22"/>
        </w:rPr>
        <w:t>sendiri</w:t>
      </w:r>
      <w:proofErr w:type="spellEnd"/>
      <w:r w:rsidRPr="00D75BA5">
        <w:rPr>
          <w:i/>
          <w:color w:val="000000" w:themeColor="text1"/>
          <w:sz w:val="22"/>
          <w:szCs w:val="22"/>
        </w:rPr>
        <w:t xml:space="preserve"> </w:t>
      </w:r>
      <w:proofErr w:type="spellStart"/>
      <w:r w:rsidRPr="00D75BA5">
        <w:rPr>
          <w:i/>
          <w:color w:val="000000" w:themeColor="text1"/>
          <w:sz w:val="22"/>
          <w:szCs w:val="22"/>
        </w:rPr>
        <w:t>maupun</w:t>
      </w:r>
      <w:proofErr w:type="spellEnd"/>
      <w:r w:rsidRPr="00D75BA5">
        <w:rPr>
          <w:i/>
          <w:color w:val="000000" w:themeColor="text1"/>
          <w:sz w:val="22"/>
          <w:szCs w:val="22"/>
        </w:rPr>
        <w:t xml:space="preserve"> </w:t>
      </w:r>
      <w:proofErr w:type="spellStart"/>
      <w:r w:rsidRPr="00D75BA5">
        <w:rPr>
          <w:i/>
          <w:color w:val="000000" w:themeColor="text1"/>
          <w:sz w:val="22"/>
          <w:szCs w:val="22"/>
        </w:rPr>
        <w:t>dengan</w:t>
      </w:r>
      <w:proofErr w:type="spellEnd"/>
      <w:r w:rsidRPr="00D75BA5">
        <w:rPr>
          <w:i/>
          <w:color w:val="000000" w:themeColor="text1"/>
          <w:sz w:val="22"/>
          <w:szCs w:val="22"/>
        </w:rPr>
        <w:t xml:space="preserve"> </w:t>
      </w:r>
      <w:proofErr w:type="spellStart"/>
      <w:r w:rsidRPr="00D75BA5">
        <w:rPr>
          <w:i/>
          <w:color w:val="000000" w:themeColor="text1"/>
          <w:sz w:val="22"/>
          <w:szCs w:val="22"/>
        </w:rPr>
        <w:t>bekerja</w:t>
      </w:r>
      <w:proofErr w:type="spellEnd"/>
      <w:r w:rsidRPr="00D75BA5">
        <w:rPr>
          <w:i/>
          <w:color w:val="000000" w:themeColor="text1"/>
          <w:sz w:val="22"/>
          <w:szCs w:val="22"/>
        </w:rPr>
        <w:t xml:space="preserve"> </w:t>
      </w:r>
      <w:proofErr w:type="spellStart"/>
      <w:r w:rsidRPr="00D75BA5">
        <w:rPr>
          <w:i/>
          <w:color w:val="000000" w:themeColor="text1"/>
          <w:sz w:val="22"/>
          <w:szCs w:val="22"/>
        </w:rPr>
        <w:t>sama</w:t>
      </w:r>
      <w:proofErr w:type="spellEnd"/>
      <w:r w:rsidRPr="00D75BA5">
        <w:rPr>
          <w:i/>
          <w:color w:val="000000" w:themeColor="text1"/>
          <w:sz w:val="22"/>
          <w:szCs w:val="22"/>
        </w:rPr>
        <w:t xml:space="preserve"> </w:t>
      </w:r>
      <w:proofErr w:type="spellStart"/>
      <w:r w:rsidRPr="00D75BA5">
        <w:rPr>
          <w:i/>
          <w:color w:val="000000" w:themeColor="text1"/>
          <w:sz w:val="22"/>
          <w:szCs w:val="22"/>
        </w:rPr>
        <w:t>dengan</w:t>
      </w:r>
      <w:proofErr w:type="spellEnd"/>
      <w:r w:rsidRPr="00D75BA5">
        <w:rPr>
          <w:i/>
          <w:color w:val="000000" w:themeColor="text1"/>
          <w:sz w:val="22"/>
          <w:szCs w:val="22"/>
        </w:rPr>
        <w:t xml:space="preserve"> </w:t>
      </w:r>
      <w:proofErr w:type="spellStart"/>
      <w:r w:rsidRPr="00D75BA5">
        <w:rPr>
          <w:i/>
          <w:color w:val="000000" w:themeColor="text1"/>
          <w:sz w:val="22"/>
          <w:szCs w:val="22"/>
        </w:rPr>
        <w:t>pihak</w:t>
      </w:r>
      <w:proofErr w:type="spellEnd"/>
      <w:r w:rsidRPr="00D75BA5">
        <w:rPr>
          <w:i/>
          <w:color w:val="000000" w:themeColor="text1"/>
          <w:sz w:val="22"/>
          <w:szCs w:val="22"/>
        </w:rPr>
        <w:t xml:space="preserve"> lain yang </w:t>
      </w:r>
      <w:proofErr w:type="spellStart"/>
      <w:r w:rsidRPr="00D75BA5">
        <w:rPr>
          <w:i/>
          <w:color w:val="000000" w:themeColor="text1"/>
          <w:sz w:val="22"/>
          <w:szCs w:val="22"/>
        </w:rPr>
        <w:t>menggunakan</w:t>
      </w:r>
      <w:proofErr w:type="spellEnd"/>
      <w:r w:rsidRPr="00D75BA5">
        <w:rPr>
          <w:i/>
          <w:color w:val="000000" w:themeColor="text1"/>
          <w:sz w:val="22"/>
          <w:szCs w:val="22"/>
        </w:rPr>
        <w:t xml:space="preserve"> data </w:t>
      </w:r>
      <w:proofErr w:type="spellStart"/>
      <w:r w:rsidRPr="00D75BA5">
        <w:rPr>
          <w:i/>
          <w:color w:val="000000" w:themeColor="text1"/>
          <w:sz w:val="22"/>
          <w:szCs w:val="22"/>
        </w:rPr>
        <w:t>tersebut</w:t>
      </w:r>
      <w:proofErr w:type="spellEnd"/>
      <w:r w:rsidRPr="00D75BA5">
        <w:rPr>
          <w:i/>
          <w:color w:val="000000" w:themeColor="text1"/>
          <w:sz w:val="22"/>
          <w:szCs w:val="22"/>
        </w:rPr>
        <w:t xml:space="preserve">. Hal </w:t>
      </w:r>
      <w:proofErr w:type="spellStart"/>
      <w:r w:rsidRPr="00D75BA5">
        <w:rPr>
          <w:i/>
          <w:color w:val="000000" w:themeColor="text1"/>
          <w:sz w:val="22"/>
          <w:szCs w:val="22"/>
        </w:rPr>
        <w:t>ini</w:t>
      </w:r>
      <w:proofErr w:type="spellEnd"/>
      <w:r w:rsidRPr="00D75BA5">
        <w:rPr>
          <w:i/>
          <w:color w:val="000000" w:themeColor="text1"/>
          <w:sz w:val="22"/>
          <w:szCs w:val="22"/>
        </w:rPr>
        <w:t xml:space="preserve"> </w:t>
      </w:r>
      <w:proofErr w:type="spellStart"/>
      <w:r w:rsidRPr="00D75BA5">
        <w:rPr>
          <w:i/>
          <w:color w:val="000000" w:themeColor="text1"/>
          <w:sz w:val="22"/>
          <w:szCs w:val="22"/>
        </w:rPr>
        <w:t>berbeda</w:t>
      </w:r>
      <w:proofErr w:type="spellEnd"/>
      <w:r w:rsidRPr="00D75BA5">
        <w:rPr>
          <w:i/>
          <w:color w:val="000000" w:themeColor="text1"/>
          <w:sz w:val="22"/>
          <w:szCs w:val="22"/>
        </w:rPr>
        <w:t xml:space="preserve"> </w:t>
      </w:r>
      <w:proofErr w:type="spellStart"/>
      <w:r w:rsidRPr="00D75BA5">
        <w:rPr>
          <w:i/>
          <w:color w:val="000000" w:themeColor="text1"/>
          <w:sz w:val="22"/>
          <w:szCs w:val="22"/>
        </w:rPr>
        <w:t>dengan</w:t>
      </w:r>
      <w:proofErr w:type="spellEnd"/>
      <w:r w:rsidRPr="00D75BA5">
        <w:rPr>
          <w:i/>
          <w:color w:val="000000" w:themeColor="text1"/>
          <w:sz w:val="22"/>
          <w:szCs w:val="22"/>
        </w:rPr>
        <w:t xml:space="preserve"> “</w:t>
      </w:r>
      <w:r w:rsidR="00890983">
        <w:rPr>
          <w:i/>
          <w:color w:val="000000" w:themeColor="text1"/>
          <w:sz w:val="22"/>
          <w:szCs w:val="22"/>
        </w:rPr>
        <w:t>data theft</w:t>
      </w:r>
      <w:r w:rsidRPr="00D75BA5">
        <w:rPr>
          <w:i/>
          <w:color w:val="000000" w:themeColor="text1"/>
          <w:sz w:val="22"/>
          <w:szCs w:val="22"/>
        </w:rPr>
        <w:t xml:space="preserve">” yang </w:t>
      </w:r>
      <w:proofErr w:type="spellStart"/>
      <w:r w:rsidRPr="00D75BA5">
        <w:rPr>
          <w:i/>
          <w:color w:val="000000" w:themeColor="text1"/>
          <w:sz w:val="22"/>
          <w:szCs w:val="22"/>
        </w:rPr>
        <w:t>disebabkan</w:t>
      </w:r>
      <w:proofErr w:type="spellEnd"/>
      <w:r w:rsidRPr="00D75BA5">
        <w:rPr>
          <w:i/>
          <w:color w:val="000000" w:themeColor="text1"/>
          <w:sz w:val="22"/>
          <w:szCs w:val="22"/>
        </w:rPr>
        <w:t xml:space="preserve"> oleh </w:t>
      </w:r>
      <w:proofErr w:type="spellStart"/>
      <w:r w:rsidRPr="00D75BA5">
        <w:rPr>
          <w:i/>
          <w:color w:val="000000" w:themeColor="text1"/>
          <w:sz w:val="22"/>
          <w:szCs w:val="22"/>
        </w:rPr>
        <w:t>kegiatan</w:t>
      </w:r>
      <w:proofErr w:type="spellEnd"/>
      <w:r w:rsidRPr="00D75BA5">
        <w:rPr>
          <w:i/>
          <w:color w:val="000000" w:themeColor="text1"/>
          <w:sz w:val="22"/>
          <w:szCs w:val="22"/>
        </w:rPr>
        <w:t xml:space="preserve"> “illegal access” yang </w:t>
      </w:r>
      <w:proofErr w:type="spellStart"/>
      <w:r w:rsidRPr="00D75BA5">
        <w:rPr>
          <w:i/>
          <w:color w:val="000000" w:themeColor="text1"/>
          <w:sz w:val="22"/>
          <w:szCs w:val="22"/>
        </w:rPr>
        <w:t>dilakukan</w:t>
      </w:r>
      <w:proofErr w:type="spellEnd"/>
      <w:r w:rsidRPr="00D75BA5">
        <w:rPr>
          <w:i/>
          <w:color w:val="000000" w:themeColor="text1"/>
          <w:sz w:val="22"/>
          <w:szCs w:val="22"/>
        </w:rPr>
        <w:t xml:space="preserve"> oleh </w:t>
      </w:r>
      <w:proofErr w:type="spellStart"/>
      <w:r w:rsidRPr="00D75BA5">
        <w:rPr>
          <w:i/>
          <w:color w:val="000000" w:themeColor="text1"/>
          <w:sz w:val="22"/>
          <w:szCs w:val="22"/>
        </w:rPr>
        <w:t>pelaku</w:t>
      </w:r>
      <w:proofErr w:type="spellEnd"/>
      <w:r w:rsidRPr="00D75BA5">
        <w:rPr>
          <w:i/>
          <w:color w:val="000000" w:themeColor="text1"/>
          <w:sz w:val="22"/>
          <w:szCs w:val="22"/>
        </w:rPr>
        <w:t xml:space="preserve"> </w:t>
      </w:r>
      <w:proofErr w:type="spellStart"/>
      <w:r w:rsidRPr="00D75BA5">
        <w:rPr>
          <w:i/>
          <w:color w:val="000000" w:themeColor="text1"/>
          <w:sz w:val="22"/>
          <w:szCs w:val="22"/>
        </w:rPr>
        <w:t>sehingga</w:t>
      </w:r>
      <w:proofErr w:type="spellEnd"/>
      <w:r w:rsidRPr="00D75BA5">
        <w:rPr>
          <w:i/>
          <w:color w:val="000000" w:themeColor="text1"/>
          <w:sz w:val="22"/>
          <w:szCs w:val="22"/>
        </w:rPr>
        <w:t xml:space="preserve"> </w:t>
      </w:r>
      <w:proofErr w:type="spellStart"/>
      <w:r w:rsidRPr="00D75BA5">
        <w:rPr>
          <w:i/>
          <w:color w:val="000000" w:themeColor="text1"/>
          <w:sz w:val="22"/>
          <w:szCs w:val="22"/>
        </w:rPr>
        <w:t>menyebabkan</w:t>
      </w:r>
      <w:proofErr w:type="spellEnd"/>
      <w:r w:rsidRPr="00D75BA5">
        <w:rPr>
          <w:i/>
          <w:color w:val="000000" w:themeColor="text1"/>
          <w:sz w:val="22"/>
          <w:szCs w:val="22"/>
        </w:rPr>
        <w:t xml:space="preserve"> data </w:t>
      </w:r>
      <w:proofErr w:type="spellStart"/>
      <w:r w:rsidRPr="00D75BA5">
        <w:rPr>
          <w:i/>
          <w:color w:val="000000" w:themeColor="text1"/>
          <w:sz w:val="22"/>
          <w:szCs w:val="22"/>
        </w:rPr>
        <w:t>dapat</w:t>
      </w:r>
      <w:proofErr w:type="spellEnd"/>
      <w:r w:rsidRPr="00D75BA5">
        <w:rPr>
          <w:i/>
          <w:color w:val="000000" w:themeColor="text1"/>
          <w:sz w:val="22"/>
          <w:szCs w:val="22"/>
        </w:rPr>
        <w:t xml:space="preserve"> </w:t>
      </w:r>
      <w:proofErr w:type="spellStart"/>
      <w:r w:rsidRPr="00D75BA5">
        <w:rPr>
          <w:i/>
          <w:color w:val="000000" w:themeColor="text1"/>
          <w:sz w:val="22"/>
          <w:szCs w:val="22"/>
        </w:rPr>
        <w:t>diubah</w:t>
      </w:r>
      <w:proofErr w:type="spellEnd"/>
      <w:r w:rsidR="00890983">
        <w:rPr>
          <w:i/>
          <w:color w:val="000000" w:themeColor="text1"/>
          <w:sz w:val="22"/>
          <w:szCs w:val="22"/>
        </w:rPr>
        <w:t xml:space="preserve">, </w:t>
      </w:r>
      <w:proofErr w:type="spellStart"/>
      <w:r w:rsidR="00890983">
        <w:rPr>
          <w:i/>
          <w:color w:val="000000" w:themeColor="text1"/>
          <w:sz w:val="22"/>
          <w:szCs w:val="22"/>
        </w:rPr>
        <w:t>dirusak</w:t>
      </w:r>
      <w:proofErr w:type="spellEnd"/>
      <w:r w:rsidRPr="00D75BA5">
        <w:rPr>
          <w:i/>
          <w:color w:val="000000" w:themeColor="text1"/>
          <w:sz w:val="22"/>
          <w:szCs w:val="22"/>
        </w:rPr>
        <w:t xml:space="preserve"> dan </w:t>
      </w:r>
      <w:proofErr w:type="spellStart"/>
      <w:r w:rsidRPr="00D75BA5">
        <w:rPr>
          <w:i/>
          <w:color w:val="000000" w:themeColor="text1"/>
          <w:sz w:val="22"/>
          <w:szCs w:val="22"/>
        </w:rPr>
        <w:t>dihapus</w:t>
      </w:r>
      <w:proofErr w:type="spellEnd"/>
      <w:r w:rsidRPr="00D75BA5">
        <w:rPr>
          <w:i/>
          <w:color w:val="000000" w:themeColor="text1"/>
          <w:sz w:val="22"/>
          <w:szCs w:val="22"/>
        </w:rPr>
        <w:t xml:space="preserve">. Data </w:t>
      </w:r>
      <w:proofErr w:type="spellStart"/>
      <w:r w:rsidRPr="00D75BA5">
        <w:rPr>
          <w:i/>
          <w:color w:val="000000" w:themeColor="text1"/>
          <w:sz w:val="22"/>
          <w:szCs w:val="22"/>
        </w:rPr>
        <w:t>terkait</w:t>
      </w:r>
      <w:proofErr w:type="spellEnd"/>
      <w:r w:rsidRPr="00D75BA5">
        <w:rPr>
          <w:i/>
          <w:color w:val="000000" w:themeColor="text1"/>
          <w:sz w:val="22"/>
          <w:szCs w:val="22"/>
        </w:rPr>
        <w:t xml:space="preserve"> e-health </w:t>
      </w:r>
      <w:proofErr w:type="spellStart"/>
      <w:r w:rsidRPr="00D75BA5">
        <w:rPr>
          <w:i/>
          <w:color w:val="000000" w:themeColor="text1"/>
          <w:sz w:val="22"/>
          <w:szCs w:val="22"/>
        </w:rPr>
        <w:t>termasuk</w:t>
      </w:r>
      <w:proofErr w:type="spellEnd"/>
      <w:r w:rsidRPr="00D75BA5">
        <w:rPr>
          <w:i/>
          <w:color w:val="000000" w:themeColor="text1"/>
          <w:sz w:val="22"/>
          <w:szCs w:val="22"/>
        </w:rPr>
        <w:t xml:space="preserve"> </w:t>
      </w:r>
      <w:proofErr w:type="spellStart"/>
      <w:r w:rsidRPr="00D75BA5">
        <w:rPr>
          <w:i/>
          <w:color w:val="000000" w:themeColor="text1"/>
          <w:sz w:val="22"/>
          <w:szCs w:val="22"/>
        </w:rPr>
        <w:t>dalam</w:t>
      </w:r>
      <w:proofErr w:type="spellEnd"/>
      <w:r w:rsidRPr="00D75BA5">
        <w:rPr>
          <w:i/>
          <w:color w:val="000000" w:themeColor="text1"/>
          <w:sz w:val="22"/>
          <w:szCs w:val="22"/>
        </w:rPr>
        <w:t xml:space="preserve"> </w:t>
      </w:r>
      <w:proofErr w:type="spellStart"/>
      <w:r w:rsidRPr="00D75BA5">
        <w:rPr>
          <w:i/>
          <w:color w:val="000000" w:themeColor="text1"/>
          <w:sz w:val="22"/>
          <w:szCs w:val="22"/>
        </w:rPr>
        <w:t>kategori</w:t>
      </w:r>
      <w:proofErr w:type="spellEnd"/>
      <w:r w:rsidRPr="00D75BA5">
        <w:rPr>
          <w:i/>
          <w:color w:val="000000" w:themeColor="text1"/>
          <w:sz w:val="22"/>
          <w:szCs w:val="22"/>
        </w:rPr>
        <w:t xml:space="preserve"> data </w:t>
      </w:r>
      <w:proofErr w:type="spellStart"/>
      <w:r w:rsidRPr="00D75BA5">
        <w:rPr>
          <w:i/>
          <w:color w:val="000000" w:themeColor="text1"/>
          <w:sz w:val="22"/>
          <w:szCs w:val="22"/>
        </w:rPr>
        <w:t>khusus</w:t>
      </w:r>
      <w:proofErr w:type="spellEnd"/>
      <w:r w:rsidRPr="00D75BA5">
        <w:rPr>
          <w:i/>
          <w:color w:val="000000" w:themeColor="text1"/>
          <w:sz w:val="22"/>
          <w:szCs w:val="22"/>
        </w:rPr>
        <w:t xml:space="preserve"> yang </w:t>
      </w:r>
      <w:proofErr w:type="spellStart"/>
      <w:r w:rsidRPr="00D75BA5">
        <w:rPr>
          <w:i/>
          <w:color w:val="000000" w:themeColor="text1"/>
          <w:sz w:val="22"/>
          <w:szCs w:val="22"/>
        </w:rPr>
        <w:t>dilindungi</w:t>
      </w:r>
      <w:proofErr w:type="spellEnd"/>
      <w:r w:rsidRPr="00D75BA5">
        <w:rPr>
          <w:i/>
          <w:color w:val="000000" w:themeColor="text1"/>
          <w:sz w:val="22"/>
          <w:szCs w:val="22"/>
        </w:rPr>
        <w:t xml:space="preserve"> oleh </w:t>
      </w:r>
      <w:proofErr w:type="spellStart"/>
      <w:r w:rsidRPr="00D75BA5">
        <w:rPr>
          <w:i/>
          <w:color w:val="000000" w:themeColor="text1"/>
          <w:sz w:val="22"/>
          <w:szCs w:val="22"/>
        </w:rPr>
        <w:t>peraturan</w:t>
      </w:r>
      <w:proofErr w:type="spellEnd"/>
      <w:r w:rsidRPr="00D75BA5">
        <w:rPr>
          <w:i/>
          <w:color w:val="000000" w:themeColor="text1"/>
          <w:sz w:val="22"/>
          <w:szCs w:val="22"/>
        </w:rPr>
        <w:t xml:space="preserve"> </w:t>
      </w:r>
      <w:proofErr w:type="spellStart"/>
      <w:r w:rsidRPr="00D75BA5">
        <w:rPr>
          <w:i/>
          <w:color w:val="000000" w:themeColor="text1"/>
          <w:sz w:val="22"/>
          <w:szCs w:val="22"/>
        </w:rPr>
        <w:t>perundang-undangan</w:t>
      </w:r>
      <w:proofErr w:type="spellEnd"/>
      <w:r w:rsidRPr="00D75BA5">
        <w:rPr>
          <w:i/>
          <w:color w:val="000000" w:themeColor="text1"/>
          <w:sz w:val="22"/>
          <w:szCs w:val="22"/>
        </w:rPr>
        <w:t xml:space="preserve"> di Indonesia. </w:t>
      </w:r>
      <w:proofErr w:type="spellStart"/>
      <w:r w:rsidRPr="00D75BA5">
        <w:rPr>
          <w:i/>
          <w:color w:val="000000" w:themeColor="text1"/>
          <w:sz w:val="22"/>
          <w:szCs w:val="22"/>
        </w:rPr>
        <w:t>Penelitian</w:t>
      </w:r>
      <w:proofErr w:type="spellEnd"/>
      <w:r w:rsidRPr="00D75BA5">
        <w:rPr>
          <w:i/>
          <w:color w:val="000000" w:themeColor="text1"/>
          <w:sz w:val="22"/>
          <w:szCs w:val="22"/>
        </w:rPr>
        <w:t xml:space="preserve"> </w:t>
      </w:r>
      <w:proofErr w:type="spellStart"/>
      <w:r w:rsidRPr="00D75BA5">
        <w:rPr>
          <w:i/>
          <w:color w:val="000000" w:themeColor="text1"/>
          <w:sz w:val="22"/>
          <w:szCs w:val="22"/>
        </w:rPr>
        <w:t>ini</w:t>
      </w:r>
      <w:proofErr w:type="spellEnd"/>
      <w:r w:rsidRPr="00D75BA5">
        <w:rPr>
          <w:i/>
          <w:color w:val="000000" w:themeColor="text1"/>
          <w:sz w:val="22"/>
          <w:szCs w:val="22"/>
        </w:rPr>
        <w:t xml:space="preserve"> </w:t>
      </w:r>
      <w:proofErr w:type="spellStart"/>
      <w:r w:rsidRPr="00D75BA5">
        <w:rPr>
          <w:i/>
          <w:color w:val="000000" w:themeColor="text1"/>
          <w:sz w:val="22"/>
          <w:szCs w:val="22"/>
        </w:rPr>
        <w:t>merekomendasikan</w:t>
      </w:r>
      <w:proofErr w:type="spellEnd"/>
      <w:r w:rsidRPr="00D75BA5">
        <w:rPr>
          <w:i/>
          <w:color w:val="000000" w:themeColor="text1"/>
          <w:sz w:val="22"/>
          <w:szCs w:val="22"/>
        </w:rPr>
        <w:t xml:space="preserve"> </w:t>
      </w:r>
      <w:proofErr w:type="spellStart"/>
      <w:r w:rsidRPr="00D75BA5">
        <w:rPr>
          <w:i/>
          <w:color w:val="000000" w:themeColor="text1"/>
          <w:sz w:val="22"/>
          <w:szCs w:val="22"/>
        </w:rPr>
        <w:t>perlunya</w:t>
      </w:r>
      <w:proofErr w:type="spellEnd"/>
      <w:r w:rsidRPr="00D75BA5">
        <w:rPr>
          <w:i/>
          <w:color w:val="000000" w:themeColor="text1"/>
          <w:sz w:val="22"/>
          <w:szCs w:val="22"/>
        </w:rPr>
        <w:t xml:space="preserve"> </w:t>
      </w:r>
      <w:proofErr w:type="spellStart"/>
      <w:r w:rsidRPr="00D75BA5">
        <w:rPr>
          <w:i/>
          <w:color w:val="000000" w:themeColor="text1"/>
          <w:sz w:val="22"/>
          <w:szCs w:val="22"/>
        </w:rPr>
        <w:t>komitmen</w:t>
      </w:r>
      <w:proofErr w:type="spellEnd"/>
      <w:r w:rsidRPr="00D75BA5">
        <w:rPr>
          <w:i/>
          <w:color w:val="000000" w:themeColor="text1"/>
          <w:sz w:val="22"/>
          <w:szCs w:val="22"/>
        </w:rPr>
        <w:t xml:space="preserve"> </w:t>
      </w:r>
      <w:proofErr w:type="spellStart"/>
      <w:r w:rsidRPr="00D75BA5">
        <w:rPr>
          <w:i/>
          <w:color w:val="000000" w:themeColor="text1"/>
          <w:sz w:val="22"/>
          <w:szCs w:val="22"/>
        </w:rPr>
        <w:t>dari</w:t>
      </w:r>
      <w:proofErr w:type="spellEnd"/>
      <w:r w:rsidRPr="00D75BA5">
        <w:rPr>
          <w:i/>
          <w:color w:val="000000" w:themeColor="text1"/>
          <w:sz w:val="22"/>
          <w:szCs w:val="22"/>
        </w:rPr>
        <w:t xml:space="preserve"> </w:t>
      </w:r>
      <w:proofErr w:type="spellStart"/>
      <w:r w:rsidRPr="00D75BA5">
        <w:rPr>
          <w:i/>
          <w:color w:val="000000" w:themeColor="text1"/>
          <w:sz w:val="22"/>
          <w:szCs w:val="22"/>
        </w:rPr>
        <w:t>penyedia</w:t>
      </w:r>
      <w:proofErr w:type="spellEnd"/>
      <w:r w:rsidRPr="00D75BA5">
        <w:rPr>
          <w:i/>
          <w:color w:val="000000" w:themeColor="text1"/>
          <w:sz w:val="22"/>
          <w:szCs w:val="22"/>
        </w:rPr>
        <w:t xml:space="preserve"> </w:t>
      </w:r>
      <w:proofErr w:type="spellStart"/>
      <w:r w:rsidRPr="00D75BA5">
        <w:rPr>
          <w:i/>
          <w:color w:val="000000" w:themeColor="text1"/>
          <w:sz w:val="22"/>
          <w:szCs w:val="22"/>
        </w:rPr>
        <w:t>jasa</w:t>
      </w:r>
      <w:proofErr w:type="spellEnd"/>
      <w:r w:rsidRPr="00D75BA5">
        <w:rPr>
          <w:i/>
          <w:color w:val="000000" w:themeColor="text1"/>
          <w:sz w:val="22"/>
          <w:szCs w:val="22"/>
        </w:rPr>
        <w:t xml:space="preserve"> </w:t>
      </w:r>
      <w:proofErr w:type="spellStart"/>
      <w:r w:rsidRPr="00D75BA5">
        <w:rPr>
          <w:i/>
          <w:color w:val="000000" w:themeColor="text1"/>
          <w:sz w:val="22"/>
          <w:szCs w:val="22"/>
        </w:rPr>
        <w:t>untuk</w:t>
      </w:r>
      <w:proofErr w:type="spellEnd"/>
      <w:r w:rsidRPr="00D75BA5">
        <w:rPr>
          <w:i/>
          <w:color w:val="000000" w:themeColor="text1"/>
          <w:sz w:val="22"/>
          <w:szCs w:val="22"/>
        </w:rPr>
        <w:t xml:space="preserve"> </w:t>
      </w:r>
      <w:proofErr w:type="spellStart"/>
      <w:r w:rsidRPr="00D75BA5">
        <w:rPr>
          <w:i/>
          <w:color w:val="000000" w:themeColor="text1"/>
          <w:sz w:val="22"/>
          <w:szCs w:val="22"/>
        </w:rPr>
        <w:t>ikut</w:t>
      </w:r>
      <w:proofErr w:type="spellEnd"/>
      <w:r w:rsidRPr="00D75BA5">
        <w:rPr>
          <w:i/>
          <w:color w:val="000000" w:themeColor="text1"/>
          <w:sz w:val="22"/>
          <w:szCs w:val="22"/>
        </w:rPr>
        <w:t xml:space="preserve"> </w:t>
      </w:r>
      <w:proofErr w:type="spellStart"/>
      <w:r w:rsidRPr="00D75BA5">
        <w:rPr>
          <w:i/>
          <w:color w:val="000000" w:themeColor="text1"/>
          <w:sz w:val="22"/>
          <w:szCs w:val="22"/>
        </w:rPr>
        <w:t>serta</w:t>
      </w:r>
      <w:proofErr w:type="spellEnd"/>
      <w:r w:rsidRPr="00D75BA5">
        <w:rPr>
          <w:i/>
          <w:color w:val="000000" w:themeColor="text1"/>
          <w:sz w:val="22"/>
          <w:szCs w:val="22"/>
        </w:rPr>
        <w:t xml:space="preserve"> </w:t>
      </w:r>
      <w:proofErr w:type="spellStart"/>
      <w:r w:rsidRPr="00D75BA5">
        <w:rPr>
          <w:i/>
          <w:color w:val="000000" w:themeColor="text1"/>
          <w:sz w:val="22"/>
          <w:szCs w:val="22"/>
        </w:rPr>
        <w:t>memberikan</w:t>
      </w:r>
      <w:proofErr w:type="spellEnd"/>
      <w:r w:rsidRPr="00D75BA5">
        <w:rPr>
          <w:i/>
          <w:color w:val="000000" w:themeColor="text1"/>
          <w:sz w:val="22"/>
          <w:szCs w:val="22"/>
        </w:rPr>
        <w:t xml:space="preserve"> </w:t>
      </w:r>
      <w:proofErr w:type="spellStart"/>
      <w:r w:rsidRPr="00D75BA5">
        <w:rPr>
          <w:i/>
          <w:color w:val="000000" w:themeColor="text1"/>
          <w:sz w:val="22"/>
          <w:szCs w:val="22"/>
        </w:rPr>
        <w:t>upaya</w:t>
      </w:r>
      <w:proofErr w:type="spellEnd"/>
      <w:r w:rsidRPr="00D75BA5">
        <w:rPr>
          <w:i/>
          <w:color w:val="000000" w:themeColor="text1"/>
          <w:sz w:val="22"/>
          <w:szCs w:val="22"/>
        </w:rPr>
        <w:t xml:space="preserve"> </w:t>
      </w:r>
      <w:proofErr w:type="spellStart"/>
      <w:r w:rsidRPr="00D75BA5">
        <w:rPr>
          <w:i/>
          <w:color w:val="000000" w:themeColor="text1"/>
          <w:sz w:val="22"/>
          <w:szCs w:val="22"/>
        </w:rPr>
        <w:t>perlindungan</w:t>
      </w:r>
      <w:proofErr w:type="spellEnd"/>
      <w:r w:rsidRPr="00D75BA5">
        <w:rPr>
          <w:i/>
          <w:color w:val="000000" w:themeColor="text1"/>
          <w:sz w:val="22"/>
          <w:szCs w:val="22"/>
        </w:rPr>
        <w:t xml:space="preserve">, </w:t>
      </w:r>
      <w:proofErr w:type="spellStart"/>
      <w:r w:rsidRPr="00D75BA5">
        <w:rPr>
          <w:i/>
          <w:color w:val="000000" w:themeColor="text1"/>
          <w:sz w:val="22"/>
          <w:szCs w:val="22"/>
        </w:rPr>
        <w:t>baik</w:t>
      </w:r>
      <w:proofErr w:type="spellEnd"/>
      <w:r w:rsidRPr="00D75BA5">
        <w:rPr>
          <w:i/>
          <w:color w:val="000000" w:themeColor="text1"/>
          <w:sz w:val="22"/>
          <w:szCs w:val="22"/>
        </w:rPr>
        <w:t xml:space="preserve"> </w:t>
      </w:r>
      <w:proofErr w:type="spellStart"/>
      <w:r w:rsidRPr="00D75BA5">
        <w:rPr>
          <w:i/>
          <w:color w:val="000000" w:themeColor="text1"/>
          <w:sz w:val="22"/>
          <w:szCs w:val="22"/>
        </w:rPr>
        <w:t>dari</w:t>
      </w:r>
      <w:proofErr w:type="spellEnd"/>
      <w:r w:rsidRPr="00D75BA5">
        <w:rPr>
          <w:i/>
          <w:color w:val="000000" w:themeColor="text1"/>
          <w:sz w:val="22"/>
          <w:szCs w:val="22"/>
        </w:rPr>
        <w:t xml:space="preserve"> </w:t>
      </w:r>
      <w:proofErr w:type="spellStart"/>
      <w:r w:rsidRPr="00D75BA5">
        <w:rPr>
          <w:i/>
          <w:color w:val="000000" w:themeColor="text1"/>
          <w:sz w:val="22"/>
          <w:szCs w:val="22"/>
        </w:rPr>
        <w:t>sisi</w:t>
      </w:r>
      <w:proofErr w:type="spellEnd"/>
      <w:r w:rsidRPr="00D75BA5">
        <w:rPr>
          <w:i/>
          <w:color w:val="000000" w:themeColor="text1"/>
          <w:sz w:val="22"/>
          <w:szCs w:val="22"/>
        </w:rPr>
        <w:t xml:space="preserve"> “self-regulation” </w:t>
      </w:r>
      <w:proofErr w:type="spellStart"/>
      <w:r w:rsidRPr="00D75BA5">
        <w:rPr>
          <w:i/>
          <w:color w:val="000000" w:themeColor="text1"/>
          <w:sz w:val="22"/>
          <w:szCs w:val="22"/>
        </w:rPr>
        <w:t>perusahaan</w:t>
      </w:r>
      <w:proofErr w:type="spellEnd"/>
      <w:r w:rsidRPr="00D75BA5">
        <w:rPr>
          <w:i/>
          <w:color w:val="000000" w:themeColor="text1"/>
          <w:sz w:val="22"/>
          <w:szCs w:val="22"/>
        </w:rPr>
        <w:t xml:space="preserve"> </w:t>
      </w:r>
      <w:proofErr w:type="spellStart"/>
      <w:r w:rsidRPr="00D75BA5">
        <w:rPr>
          <w:i/>
          <w:color w:val="000000" w:themeColor="text1"/>
          <w:sz w:val="22"/>
          <w:szCs w:val="22"/>
        </w:rPr>
        <w:t>berupa</w:t>
      </w:r>
      <w:proofErr w:type="spellEnd"/>
      <w:r w:rsidRPr="00D75BA5">
        <w:rPr>
          <w:i/>
          <w:color w:val="000000" w:themeColor="text1"/>
          <w:sz w:val="22"/>
          <w:szCs w:val="22"/>
        </w:rPr>
        <w:t xml:space="preserve"> </w:t>
      </w:r>
      <w:proofErr w:type="spellStart"/>
      <w:r w:rsidRPr="00D75BA5">
        <w:rPr>
          <w:i/>
          <w:color w:val="000000" w:themeColor="text1"/>
          <w:sz w:val="22"/>
          <w:szCs w:val="22"/>
        </w:rPr>
        <w:t>upaya</w:t>
      </w:r>
      <w:proofErr w:type="spellEnd"/>
      <w:r w:rsidRPr="00D75BA5">
        <w:rPr>
          <w:i/>
          <w:color w:val="000000" w:themeColor="text1"/>
          <w:sz w:val="22"/>
          <w:szCs w:val="22"/>
        </w:rPr>
        <w:t xml:space="preserve"> </w:t>
      </w:r>
      <w:proofErr w:type="spellStart"/>
      <w:r w:rsidRPr="00D75BA5">
        <w:rPr>
          <w:i/>
          <w:color w:val="000000" w:themeColor="text1"/>
          <w:sz w:val="22"/>
          <w:szCs w:val="22"/>
        </w:rPr>
        <w:t>memberikan</w:t>
      </w:r>
      <w:proofErr w:type="spellEnd"/>
      <w:r w:rsidRPr="00D75BA5">
        <w:rPr>
          <w:i/>
          <w:color w:val="000000" w:themeColor="text1"/>
          <w:sz w:val="22"/>
          <w:szCs w:val="22"/>
        </w:rPr>
        <w:t xml:space="preserve"> </w:t>
      </w:r>
      <w:proofErr w:type="spellStart"/>
      <w:r w:rsidRPr="00D75BA5">
        <w:rPr>
          <w:i/>
          <w:color w:val="000000" w:themeColor="text1"/>
          <w:sz w:val="22"/>
          <w:szCs w:val="22"/>
        </w:rPr>
        <w:t>edukasi</w:t>
      </w:r>
      <w:proofErr w:type="spellEnd"/>
      <w:r w:rsidRPr="00D75BA5">
        <w:rPr>
          <w:i/>
          <w:color w:val="000000" w:themeColor="text1"/>
          <w:sz w:val="22"/>
          <w:szCs w:val="22"/>
        </w:rPr>
        <w:t xml:space="preserve"> </w:t>
      </w:r>
      <w:proofErr w:type="spellStart"/>
      <w:r w:rsidRPr="00D75BA5">
        <w:rPr>
          <w:i/>
          <w:color w:val="000000" w:themeColor="text1"/>
          <w:sz w:val="22"/>
          <w:szCs w:val="22"/>
        </w:rPr>
        <w:t>kepada</w:t>
      </w:r>
      <w:proofErr w:type="spellEnd"/>
      <w:r w:rsidRPr="00D75BA5">
        <w:rPr>
          <w:i/>
          <w:color w:val="000000" w:themeColor="text1"/>
          <w:sz w:val="22"/>
          <w:szCs w:val="22"/>
        </w:rPr>
        <w:t xml:space="preserve"> </w:t>
      </w:r>
      <w:proofErr w:type="spellStart"/>
      <w:r w:rsidRPr="00D75BA5">
        <w:rPr>
          <w:i/>
          <w:color w:val="000000" w:themeColor="text1"/>
          <w:sz w:val="22"/>
          <w:szCs w:val="22"/>
        </w:rPr>
        <w:t>pengguna</w:t>
      </w:r>
      <w:proofErr w:type="spellEnd"/>
      <w:r w:rsidRPr="00D75BA5">
        <w:rPr>
          <w:i/>
          <w:color w:val="000000" w:themeColor="text1"/>
          <w:sz w:val="22"/>
          <w:szCs w:val="22"/>
        </w:rPr>
        <w:t xml:space="preserve"> </w:t>
      </w:r>
      <w:proofErr w:type="spellStart"/>
      <w:r w:rsidRPr="00D75BA5">
        <w:rPr>
          <w:i/>
          <w:color w:val="000000" w:themeColor="text1"/>
          <w:sz w:val="22"/>
          <w:szCs w:val="22"/>
        </w:rPr>
        <w:t>jasa</w:t>
      </w:r>
      <w:proofErr w:type="spellEnd"/>
      <w:r w:rsidRPr="00D75BA5">
        <w:rPr>
          <w:i/>
          <w:color w:val="000000" w:themeColor="text1"/>
          <w:sz w:val="22"/>
          <w:szCs w:val="22"/>
        </w:rPr>
        <w:t xml:space="preserve">, </w:t>
      </w:r>
      <w:proofErr w:type="spellStart"/>
      <w:r w:rsidRPr="00D75BA5">
        <w:rPr>
          <w:i/>
          <w:color w:val="000000" w:themeColor="text1"/>
          <w:sz w:val="22"/>
          <w:szCs w:val="22"/>
        </w:rPr>
        <w:t>maupun</w:t>
      </w:r>
      <w:proofErr w:type="spellEnd"/>
      <w:r w:rsidRPr="00D75BA5">
        <w:rPr>
          <w:i/>
          <w:color w:val="000000" w:themeColor="text1"/>
          <w:sz w:val="22"/>
          <w:szCs w:val="22"/>
        </w:rPr>
        <w:t xml:space="preserve"> </w:t>
      </w:r>
      <w:proofErr w:type="spellStart"/>
      <w:r w:rsidRPr="00D75BA5">
        <w:rPr>
          <w:i/>
          <w:color w:val="000000" w:themeColor="text1"/>
          <w:sz w:val="22"/>
          <w:szCs w:val="22"/>
        </w:rPr>
        <w:t>secara</w:t>
      </w:r>
      <w:proofErr w:type="spellEnd"/>
      <w:r w:rsidRPr="00D75BA5">
        <w:rPr>
          <w:i/>
          <w:color w:val="000000" w:themeColor="text1"/>
          <w:sz w:val="22"/>
          <w:szCs w:val="22"/>
        </w:rPr>
        <w:t xml:space="preserve"> </w:t>
      </w:r>
      <w:proofErr w:type="spellStart"/>
      <w:r w:rsidRPr="00D75BA5">
        <w:rPr>
          <w:i/>
          <w:color w:val="000000" w:themeColor="text1"/>
          <w:sz w:val="22"/>
          <w:szCs w:val="22"/>
        </w:rPr>
        <w:t>teknis</w:t>
      </w:r>
      <w:proofErr w:type="spellEnd"/>
      <w:r w:rsidRPr="00D75BA5">
        <w:rPr>
          <w:i/>
          <w:color w:val="000000" w:themeColor="text1"/>
          <w:sz w:val="22"/>
          <w:szCs w:val="22"/>
        </w:rPr>
        <w:t xml:space="preserve"> </w:t>
      </w:r>
      <w:proofErr w:type="spellStart"/>
      <w:r w:rsidRPr="00D75BA5">
        <w:rPr>
          <w:i/>
          <w:color w:val="000000" w:themeColor="text1"/>
          <w:sz w:val="22"/>
          <w:szCs w:val="22"/>
        </w:rPr>
        <w:t>sebagai</w:t>
      </w:r>
      <w:proofErr w:type="spellEnd"/>
      <w:r w:rsidRPr="00D75BA5">
        <w:rPr>
          <w:i/>
          <w:color w:val="000000" w:themeColor="text1"/>
          <w:sz w:val="22"/>
          <w:szCs w:val="22"/>
        </w:rPr>
        <w:t xml:space="preserve"> </w:t>
      </w:r>
      <w:proofErr w:type="spellStart"/>
      <w:r w:rsidRPr="00D75BA5">
        <w:rPr>
          <w:i/>
          <w:color w:val="000000" w:themeColor="text1"/>
          <w:sz w:val="22"/>
          <w:szCs w:val="22"/>
        </w:rPr>
        <w:t>upaya</w:t>
      </w:r>
      <w:proofErr w:type="spellEnd"/>
      <w:r w:rsidRPr="00D75BA5">
        <w:rPr>
          <w:i/>
          <w:color w:val="000000" w:themeColor="text1"/>
          <w:sz w:val="22"/>
          <w:szCs w:val="22"/>
        </w:rPr>
        <w:t xml:space="preserve"> </w:t>
      </w:r>
      <w:proofErr w:type="spellStart"/>
      <w:r w:rsidRPr="00D75BA5">
        <w:rPr>
          <w:i/>
          <w:color w:val="000000" w:themeColor="text1"/>
          <w:sz w:val="22"/>
          <w:szCs w:val="22"/>
        </w:rPr>
        <w:t>menghindari</w:t>
      </w:r>
      <w:proofErr w:type="spellEnd"/>
      <w:r w:rsidRPr="00D75BA5">
        <w:rPr>
          <w:i/>
          <w:color w:val="000000" w:themeColor="text1"/>
          <w:sz w:val="22"/>
          <w:szCs w:val="22"/>
        </w:rPr>
        <w:t xml:space="preserve"> </w:t>
      </w:r>
      <w:proofErr w:type="spellStart"/>
      <w:r w:rsidRPr="00D75BA5">
        <w:rPr>
          <w:i/>
          <w:color w:val="000000" w:themeColor="text1"/>
          <w:sz w:val="22"/>
          <w:szCs w:val="22"/>
        </w:rPr>
        <w:t>tindak</w:t>
      </w:r>
      <w:proofErr w:type="spellEnd"/>
      <w:r w:rsidRPr="00D75BA5">
        <w:rPr>
          <w:i/>
          <w:color w:val="000000" w:themeColor="text1"/>
          <w:sz w:val="22"/>
          <w:szCs w:val="22"/>
        </w:rPr>
        <w:t xml:space="preserve"> </w:t>
      </w:r>
      <w:proofErr w:type="spellStart"/>
      <w:r w:rsidRPr="00D75BA5">
        <w:rPr>
          <w:i/>
          <w:color w:val="000000" w:themeColor="text1"/>
          <w:sz w:val="22"/>
          <w:szCs w:val="22"/>
        </w:rPr>
        <w:t>kriminal</w:t>
      </w:r>
      <w:proofErr w:type="spellEnd"/>
      <w:r w:rsidRPr="00D75BA5">
        <w:rPr>
          <w:i/>
          <w:color w:val="000000" w:themeColor="text1"/>
          <w:sz w:val="22"/>
          <w:szCs w:val="22"/>
        </w:rPr>
        <w:t xml:space="preserve">, </w:t>
      </w:r>
      <w:proofErr w:type="spellStart"/>
      <w:r w:rsidRPr="00D75BA5">
        <w:rPr>
          <w:i/>
          <w:color w:val="000000" w:themeColor="text1"/>
          <w:sz w:val="22"/>
          <w:szCs w:val="22"/>
        </w:rPr>
        <w:t>hingga</w:t>
      </w:r>
      <w:proofErr w:type="spellEnd"/>
      <w:r w:rsidRPr="00D75BA5">
        <w:rPr>
          <w:i/>
          <w:color w:val="000000" w:themeColor="text1"/>
          <w:sz w:val="22"/>
          <w:szCs w:val="22"/>
        </w:rPr>
        <w:t xml:space="preserve"> </w:t>
      </w:r>
      <w:proofErr w:type="spellStart"/>
      <w:r w:rsidRPr="00D75BA5">
        <w:rPr>
          <w:i/>
          <w:color w:val="000000" w:themeColor="text1"/>
          <w:sz w:val="22"/>
          <w:szCs w:val="22"/>
        </w:rPr>
        <w:t>upaya</w:t>
      </w:r>
      <w:proofErr w:type="spellEnd"/>
      <w:r w:rsidRPr="00D75BA5">
        <w:rPr>
          <w:i/>
          <w:color w:val="000000" w:themeColor="text1"/>
          <w:sz w:val="22"/>
          <w:szCs w:val="22"/>
        </w:rPr>
        <w:t xml:space="preserve"> </w:t>
      </w:r>
      <w:proofErr w:type="spellStart"/>
      <w:r w:rsidRPr="00D75BA5">
        <w:rPr>
          <w:i/>
          <w:color w:val="000000" w:themeColor="text1"/>
          <w:sz w:val="22"/>
          <w:szCs w:val="22"/>
        </w:rPr>
        <w:t>hukum</w:t>
      </w:r>
      <w:proofErr w:type="spellEnd"/>
      <w:r w:rsidRPr="00D75BA5">
        <w:rPr>
          <w:i/>
          <w:color w:val="000000" w:themeColor="text1"/>
          <w:sz w:val="22"/>
          <w:szCs w:val="22"/>
        </w:rPr>
        <w:t xml:space="preserve"> </w:t>
      </w:r>
      <w:proofErr w:type="spellStart"/>
      <w:r w:rsidRPr="00D75BA5">
        <w:rPr>
          <w:i/>
          <w:color w:val="000000" w:themeColor="text1"/>
          <w:sz w:val="22"/>
          <w:szCs w:val="22"/>
        </w:rPr>
        <w:t>untuk</w:t>
      </w:r>
      <w:proofErr w:type="spellEnd"/>
      <w:r w:rsidRPr="00D75BA5">
        <w:rPr>
          <w:i/>
          <w:color w:val="000000" w:themeColor="text1"/>
          <w:sz w:val="22"/>
          <w:szCs w:val="22"/>
        </w:rPr>
        <w:t xml:space="preserve"> </w:t>
      </w:r>
      <w:proofErr w:type="spellStart"/>
      <w:r w:rsidRPr="00D75BA5">
        <w:rPr>
          <w:i/>
          <w:color w:val="000000" w:themeColor="text1"/>
          <w:sz w:val="22"/>
          <w:szCs w:val="22"/>
        </w:rPr>
        <w:t>mendapatkan</w:t>
      </w:r>
      <w:proofErr w:type="spellEnd"/>
      <w:r w:rsidRPr="00D75BA5">
        <w:rPr>
          <w:i/>
          <w:color w:val="000000" w:themeColor="text1"/>
          <w:sz w:val="22"/>
          <w:szCs w:val="22"/>
        </w:rPr>
        <w:t xml:space="preserve"> </w:t>
      </w:r>
      <w:proofErr w:type="spellStart"/>
      <w:r w:rsidRPr="00D75BA5">
        <w:rPr>
          <w:i/>
          <w:color w:val="000000" w:themeColor="text1"/>
          <w:sz w:val="22"/>
          <w:szCs w:val="22"/>
        </w:rPr>
        <w:t>perlindungan</w:t>
      </w:r>
      <w:proofErr w:type="spellEnd"/>
      <w:r w:rsidRPr="00D75BA5">
        <w:rPr>
          <w:i/>
          <w:color w:val="000000" w:themeColor="text1"/>
          <w:sz w:val="22"/>
          <w:szCs w:val="22"/>
        </w:rPr>
        <w:t>.</w:t>
      </w:r>
    </w:p>
    <w:p w14:paraId="4C0D6663" w14:textId="358E5C21" w:rsidR="00E74D2C" w:rsidRPr="00D75BA5" w:rsidRDefault="00E74D2C" w:rsidP="00E74D2C">
      <w:pPr>
        <w:pStyle w:val="NormalWeb"/>
        <w:tabs>
          <w:tab w:val="left" w:pos="910"/>
        </w:tabs>
        <w:spacing w:before="120" w:after="0"/>
        <w:jc w:val="both"/>
        <w:rPr>
          <w:i/>
          <w:color w:val="000000" w:themeColor="text1"/>
          <w:sz w:val="22"/>
          <w:szCs w:val="22"/>
          <w:lang w:val="en-GB"/>
        </w:rPr>
      </w:pPr>
      <w:r w:rsidRPr="00D75BA5">
        <w:rPr>
          <w:b/>
          <w:i/>
          <w:iCs/>
          <w:color w:val="000000" w:themeColor="text1"/>
          <w:sz w:val="22"/>
          <w:szCs w:val="22"/>
        </w:rPr>
        <w:t xml:space="preserve">Kata </w:t>
      </w:r>
      <w:proofErr w:type="spellStart"/>
      <w:r w:rsidRPr="00D75BA5">
        <w:rPr>
          <w:b/>
          <w:i/>
          <w:iCs/>
          <w:color w:val="000000" w:themeColor="text1"/>
          <w:sz w:val="22"/>
          <w:szCs w:val="22"/>
        </w:rPr>
        <w:t>Kunci</w:t>
      </w:r>
      <w:proofErr w:type="spellEnd"/>
      <w:r w:rsidRPr="00D75BA5">
        <w:rPr>
          <w:b/>
          <w:i/>
          <w:iCs/>
          <w:color w:val="000000" w:themeColor="text1"/>
          <w:sz w:val="22"/>
          <w:szCs w:val="22"/>
        </w:rPr>
        <w:t>:</w:t>
      </w:r>
      <w:r w:rsidR="00D20547" w:rsidRPr="00D75BA5">
        <w:rPr>
          <w:b/>
          <w:i/>
          <w:iCs/>
          <w:color w:val="000000" w:themeColor="text1"/>
          <w:sz w:val="22"/>
          <w:szCs w:val="22"/>
        </w:rPr>
        <w:t xml:space="preserve"> </w:t>
      </w:r>
      <w:r w:rsidR="00D75BA5" w:rsidRPr="00D75BA5">
        <w:rPr>
          <w:i/>
          <w:color w:val="231F20"/>
          <w:sz w:val="22"/>
          <w:szCs w:val="22"/>
        </w:rPr>
        <w:t>E-health,</w:t>
      </w:r>
      <w:r w:rsidR="00D75BA5" w:rsidRPr="00D75BA5">
        <w:rPr>
          <w:i/>
          <w:color w:val="231F20"/>
          <w:spacing w:val="-4"/>
          <w:sz w:val="22"/>
          <w:szCs w:val="22"/>
        </w:rPr>
        <w:t xml:space="preserve"> </w:t>
      </w:r>
      <w:proofErr w:type="spellStart"/>
      <w:r w:rsidR="00D75BA5">
        <w:rPr>
          <w:i/>
          <w:color w:val="231F20"/>
          <w:spacing w:val="-4"/>
          <w:sz w:val="22"/>
          <w:szCs w:val="22"/>
        </w:rPr>
        <w:t>perlindungan</w:t>
      </w:r>
      <w:proofErr w:type="spellEnd"/>
      <w:r w:rsidR="00D75BA5">
        <w:rPr>
          <w:i/>
          <w:color w:val="231F20"/>
          <w:spacing w:val="-4"/>
          <w:sz w:val="22"/>
          <w:szCs w:val="22"/>
        </w:rPr>
        <w:t xml:space="preserve"> </w:t>
      </w:r>
      <w:r w:rsidR="00D75BA5" w:rsidRPr="00D75BA5">
        <w:rPr>
          <w:i/>
          <w:iCs/>
          <w:color w:val="231F20"/>
          <w:sz w:val="22"/>
          <w:szCs w:val="22"/>
        </w:rPr>
        <w:t>data</w:t>
      </w:r>
      <w:r w:rsidR="00D75BA5" w:rsidRPr="00D75BA5">
        <w:rPr>
          <w:i/>
          <w:color w:val="231F20"/>
          <w:sz w:val="22"/>
          <w:szCs w:val="22"/>
        </w:rPr>
        <w:t>,</w:t>
      </w:r>
      <w:r w:rsidR="00D75BA5" w:rsidRPr="00D75BA5">
        <w:rPr>
          <w:i/>
          <w:color w:val="231F20"/>
          <w:spacing w:val="-3"/>
          <w:sz w:val="22"/>
          <w:szCs w:val="22"/>
        </w:rPr>
        <w:t xml:space="preserve"> </w:t>
      </w:r>
      <w:r w:rsidR="00D75BA5" w:rsidRPr="00D75BA5">
        <w:rPr>
          <w:i/>
          <w:color w:val="231F20"/>
          <w:sz w:val="22"/>
          <w:szCs w:val="22"/>
        </w:rPr>
        <w:t>cybercrime,</w:t>
      </w:r>
      <w:r w:rsidR="00D75BA5" w:rsidRPr="00D75BA5">
        <w:rPr>
          <w:i/>
          <w:color w:val="231F20"/>
          <w:spacing w:val="-3"/>
          <w:sz w:val="22"/>
          <w:szCs w:val="22"/>
        </w:rPr>
        <w:t xml:space="preserve"> data breach, </w:t>
      </w:r>
      <w:r w:rsidR="00D75BA5" w:rsidRPr="00D75BA5">
        <w:rPr>
          <w:i/>
          <w:color w:val="231F20"/>
          <w:sz w:val="22"/>
          <w:szCs w:val="22"/>
        </w:rPr>
        <w:t>data theft.</w:t>
      </w:r>
    </w:p>
    <w:p w14:paraId="2057B3D4" w14:textId="77777777" w:rsidR="009E1FCF" w:rsidRPr="00476CF0" w:rsidRDefault="009E1FCF" w:rsidP="009E1FCF">
      <w:pPr>
        <w:spacing w:before="57"/>
        <w:ind w:right="5201"/>
        <w:jc w:val="both"/>
        <w:rPr>
          <w:color w:val="000000" w:themeColor="text1"/>
          <w:sz w:val="22"/>
          <w:szCs w:val="22"/>
          <w:lang w:val="id-ID"/>
        </w:rPr>
        <w:sectPr w:rsidR="009E1FCF" w:rsidRPr="00476CF0" w:rsidSect="00973B8E">
          <w:pgSz w:w="12140" w:h="17080"/>
          <w:pgMar w:top="1276" w:right="820" w:bottom="280" w:left="1040" w:header="713" w:footer="731" w:gutter="0"/>
          <w:pgNumType w:start="291"/>
          <w:cols w:space="720"/>
        </w:sectPr>
      </w:pPr>
    </w:p>
    <w:p w14:paraId="5F9A8ACE" w14:textId="28AF80D3" w:rsidR="00F6048E" w:rsidRPr="00476CF0" w:rsidRDefault="003912DC" w:rsidP="001A3AD5">
      <w:pPr>
        <w:rPr>
          <w:b/>
          <w:color w:val="000000" w:themeColor="text1"/>
          <w:sz w:val="26"/>
          <w:szCs w:val="26"/>
        </w:rPr>
      </w:pPr>
      <w:r w:rsidRPr="00476CF0">
        <w:rPr>
          <w:b/>
          <w:color w:val="000000" w:themeColor="text1"/>
          <w:sz w:val="26"/>
          <w:szCs w:val="26"/>
        </w:rPr>
        <w:t>INTRODUCTION</w:t>
      </w:r>
    </w:p>
    <w:p w14:paraId="552BCC5F" w14:textId="77777777" w:rsidR="00FB0D84" w:rsidRDefault="00FB0D84" w:rsidP="00FB0D84">
      <w:pPr>
        <w:tabs>
          <w:tab w:val="left" w:pos="284"/>
        </w:tabs>
        <w:spacing w:before="120"/>
        <w:ind w:firstLine="567"/>
        <w:jc w:val="both"/>
      </w:pPr>
      <w:r w:rsidRPr="00420C63">
        <w:rPr>
          <w:color w:val="000000"/>
        </w:rPr>
        <w:lastRenderedPageBreak/>
        <w:t xml:space="preserve">In 1999 a national study of telemedicine in Australia promoted the concept of </w:t>
      </w:r>
      <w:r w:rsidRPr="00420C63">
        <w:rPr>
          <w:rStyle w:val="Emphasis"/>
          <w:rFonts w:eastAsiaTheme="majorEastAsia"/>
          <w:color w:val="000000"/>
          <w:bdr w:val="none" w:sz="0" w:space="0" w:color="auto" w:frame="1"/>
          <w:shd w:val="clear" w:color="auto" w:fill="FFFFFF"/>
        </w:rPr>
        <w:t xml:space="preserve">electronic health </w:t>
      </w:r>
      <w:r w:rsidRPr="00420C63">
        <w:rPr>
          <w:color w:val="000000"/>
        </w:rPr>
        <w:t>e-health.</w:t>
      </w:r>
      <w:r w:rsidRPr="009B498D">
        <w:rPr>
          <w:rStyle w:val="FootnoteReference"/>
          <w:rFonts w:eastAsiaTheme="minorEastAsia"/>
        </w:rPr>
        <w:footnoteReference w:id="1"/>
      </w:r>
      <w:r w:rsidRPr="00420C63">
        <w:rPr>
          <w:color w:val="000000"/>
        </w:rPr>
        <w:t xml:space="preserve"> Here, </w:t>
      </w:r>
      <w:r w:rsidRPr="00420C63">
        <w:t>Mitchell also pointed out that "e-health can be considered to be the health industry's equivalent of e-commerce.</w:t>
      </w:r>
      <w:r w:rsidRPr="009B498D">
        <w:rPr>
          <w:rStyle w:val="FootnoteReference"/>
          <w:rFonts w:eastAsiaTheme="minorEastAsia"/>
        </w:rPr>
        <w:footnoteReference w:id="2"/>
      </w:r>
      <w:r w:rsidRPr="00420C63">
        <w:t xml:space="preserve"> It is e-commerce in the field of services that specialize in the health sector. This sector is a sector that is developing very rapidly in the future. The latest technologies used, such as e-commerce, net banking, healthcare and personal data on cloud storage need high security.</w:t>
      </w:r>
      <w:r w:rsidRPr="009B498D">
        <w:rPr>
          <w:rStyle w:val="FootnoteReference"/>
          <w:rFonts w:eastAsiaTheme="minorEastAsia"/>
        </w:rPr>
        <w:footnoteReference w:id="3"/>
      </w:r>
      <w:r w:rsidRPr="00420C63">
        <w:t xml:space="preserve"> </w:t>
      </w:r>
    </w:p>
    <w:p w14:paraId="0C4C496F" w14:textId="77777777" w:rsidR="00FB0D84" w:rsidRPr="00AA3A7A" w:rsidRDefault="00FB0D84" w:rsidP="00FB0D84">
      <w:pPr>
        <w:tabs>
          <w:tab w:val="left" w:pos="284"/>
        </w:tabs>
        <w:spacing w:before="120"/>
        <w:ind w:firstLine="567"/>
        <w:jc w:val="both"/>
        <w:rPr>
          <w:color w:val="000000" w:themeColor="text1"/>
        </w:rPr>
      </w:pPr>
      <w:r w:rsidRPr="00420C63">
        <w:rPr>
          <w:color w:val="000000" w:themeColor="text1"/>
        </w:rPr>
        <w:t>According to data from the Indonesian Internet Service Providers Association (APJII), internet penetration in Indonesia in 2021-2022 will reach 77.02%.</w:t>
      </w:r>
      <w:r w:rsidRPr="009B498D">
        <w:rPr>
          <w:rStyle w:val="FootnoteReference"/>
          <w:rFonts w:eastAsiaTheme="minorEastAsia"/>
        </w:rPr>
        <w:footnoteReference w:id="4"/>
      </w:r>
      <w:r>
        <w:rPr>
          <w:color w:val="000000" w:themeColor="text1"/>
        </w:rPr>
        <w:t xml:space="preserve"> </w:t>
      </w:r>
      <w:r w:rsidRPr="00AA3A7A">
        <w:rPr>
          <w:color w:val="000000" w:themeColor="text1"/>
        </w:rPr>
        <w:t>Referring to the number of Internet penetrations above 70%, the author is optimistic that service users in the E-Health sector will continue to increase, in line with the development of e-commerce in this service sector. Although, in 2019, users of health applications only reached 10% of the total population in Indonesia.</w:t>
      </w:r>
      <w:r w:rsidRPr="009B498D">
        <w:rPr>
          <w:rStyle w:val="FootnoteReference"/>
          <w:rFonts w:eastAsiaTheme="minorEastAsia"/>
        </w:rPr>
        <w:footnoteReference w:id="5"/>
      </w:r>
    </w:p>
    <w:p w14:paraId="65A9D088" w14:textId="77777777" w:rsidR="00FB0D84" w:rsidRDefault="00FB0D84" w:rsidP="00FB0D84">
      <w:pPr>
        <w:tabs>
          <w:tab w:val="left" w:pos="284"/>
        </w:tabs>
        <w:spacing w:before="120"/>
        <w:ind w:firstLine="567"/>
        <w:jc w:val="both"/>
        <w:rPr>
          <w:color w:val="000000"/>
        </w:rPr>
      </w:pPr>
      <w:r w:rsidRPr="002855DD">
        <w:rPr>
          <w:color w:val="000000"/>
        </w:rPr>
        <w:t xml:space="preserve">The emergence of </w:t>
      </w:r>
      <w:r>
        <w:rPr>
          <w:color w:val="000000"/>
        </w:rPr>
        <w:t>E-</w:t>
      </w:r>
      <w:r w:rsidRPr="002855DD">
        <w:rPr>
          <w:color w:val="000000"/>
        </w:rPr>
        <w:t>Health is one of the new styles of medical services. It allows health facilities to easily manage medical record data, pharmacies, and hospitals at affordable prices for both clinics and hospitals through the ICT platform. It can be said as a technological innovation in medical services which provides many conveniences for medical activities, such as consultation, treatment, and transactions.</w:t>
      </w:r>
      <w:r w:rsidRPr="002855DD">
        <w:t xml:space="preserve"> </w:t>
      </w:r>
      <w:r w:rsidRPr="002855DD">
        <w:rPr>
          <w:color w:val="000000"/>
        </w:rPr>
        <w:t xml:space="preserve">Here, </w:t>
      </w:r>
      <w:r>
        <w:rPr>
          <w:color w:val="000000"/>
        </w:rPr>
        <w:t>E-</w:t>
      </w:r>
      <w:r w:rsidRPr="002855DD">
        <w:rPr>
          <w:color w:val="000000"/>
        </w:rPr>
        <w:t>Health takes part in the role of convenience in providing health services</w:t>
      </w:r>
      <w:r>
        <w:rPr>
          <w:color w:val="000000"/>
        </w:rPr>
        <w:t xml:space="preserve"> in over the world</w:t>
      </w:r>
      <w:r w:rsidRPr="002855DD">
        <w:rPr>
          <w:color w:val="000000"/>
        </w:rPr>
        <w:t>.</w:t>
      </w:r>
    </w:p>
    <w:p w14:paraId="3EB1EDDD" w14:textId="77777777" w:rsidR="00FB0D84" w:rsidRPr="00CC670C" w:rsidRDefault="00FB0D84" w:rsidP="00FB0D84">
      <w:pPr>
        <w:tabs>
          <w:tab w:val="left" w:pos="284"/>
        </w:tabs>
        <w:spacing w:before="120"/>
        <w:ind w:firstLine="567"/>
        <w:jc w:val="both"/>
        <w:rPr>
          <w:color w:val="000000"/>
        </w:rPr>
      </w:pPr>
      <w:r w:rsidRPr="00CC670C">
        <w:rPr>
          <w:color w:val="000000"/>
        </w:rPr>
        <w:t xml:space="preserve">In 2001, G </w:t>
      </w:r>
      <w:proofErr w:type="spellStart"/>
      <w:r w:rsidRPr="00CC670C">
        <w:rPr>
          <w:color w:val="000000"/>
        </w:rPr>
        <w:t>Eysenbach</w:t>
      </w:r>
      <w:proofErr w:type="spellEnd"/>
      <w:r w:rsidRPr="00CC670C">
        <w:rPr>
          <w:color w:val="000000"/>
        </w:rPr>
        <w:t xml:space="preserve"> define the term and concept of e-health as follows:</w:t>
      </w:r>
    </w:p>
    <w:p w14:paraId="4AFF05CF" w14:textId="77777777" w:rsidR="00FB0D84" w:rsidRDefault="00FB0D84" w:rsidP="00FB0D84">
      <w:pPr>
        <w:tabs>
          <w:tab w:val="left" w:pos="8364"/>
        </w:tabs>
        <w:autoSpaceDE w:val="0"/>
        <w:autoSpaceDN w:val="0"/>
        <w:adjustRightInd w:val="0"/>
        <w:spacing w:before="120"/>
        <w:ind w:left="567" w:right="662"/>
        <w:jc w:val="both"/>
        <w:rPr>
          <w:iCs/>
        </w:rPr>
      </w:pPr>
      <w:r w:rsidRPr="00CC670C">
        <w:rPr>
          <w:i/>
          <w:iCs/>
        </w:rPr>
        <w:t xml:space="preserve">E-health is an emerging field in the intersection of medical informatics, public health and business, referring to health services and information delivered or enhanced through the Internet and related technologies. In a broader sense, the term characterizes not only a technical development, but also a </w:t>
      </w:r>
      <w:r>
        <w:rPr>
          <w:i/>
          <w:iCs/>
        </w:rPr>
        <w:t>state of mind</w:t>
      </w:r>
      <w:r w:rsidRPr="00CC670C">
        <w:rPr>
          <w:i/>
          <w:iCs/>
        </w:rPr>
        <w:t xml:space="preserve">, a way of thinking, an attitude, and a commitment </w:t>
      </w:r>
      <w:r>
        <w:rPr>
          <w:i/>
          <w:iCs/>
        </w:rPr>
        <w:t>to</w:t>
      </w:r>
      <w:r w:rsidRPr="00CC670C">
        <w:rPr>
          <w:i/>
          <w:iCs/>
        </w:rPr>
        <w:t xml:space="preserve"> networked, global thinking, to improve health care locally, regionally, and worldwide by using information and communication technology</w:t>
      </w:r>
      <w:r>
        <w:rPr>
          <w:i/>
          <w:iCs/>
        </w:rPr>
        <w:t>.</w:t>
      </w:r>
      <w:r w:rsidRPr="009B498D">
        <w:rPr>
          <w:rStyle w:val="FootnoteReference"/>
          <w:rFonts w:eastAsiaTheme="minorEastAsia"/>
        </w:rPr>
        <w:footnoteReference w:id="6"/>
      </w:r>
    </w:p>
    <w:p w14:paraId="348EBDD3" w14:textId="77777777" w:rsidR="00FB0D84" w:rsidRPr="002C7700" w:rsidRDefault="00FB0D84" w:rsidP="00FB0D84">
      <w:pPr>
        <w:tabs>
          <w:tab w:val="left" w:pos="8364"/>
        </w:tabs>
        <w:autoSpaceDE w:val="0"/>
        <w:autoSpaceDN w:val="0"/>
        <w:adjustRightInd w:val="0"/>
        <w:spacing w:before="120"/>
        <w:ind w:right="662" w:firstLine="567"/>
        <w:jc w:val="both"/>
        <w:rPr>
          <w:color w:val="000000"/>
        </w:rPr>
      </w:pPr>
      <w:r w:rsidRPr="002C7700">
        <w:rPr>
          <w:iCs/>
        </w:rPr>
        <w:t>This definition is expected to provide a broad enough meaning to be applied to a dynamic environment such as the Internet. Another thing that can be conveyed is that at the same time it recognizes that e-health includes more than just "Internet and Medicine".</w:t>
      </w:r>
      <w:r w:rsidRPr="009B498D">
        <w:rPr>
          <w:rStyle w:val="FootnoteReference"/>
          <w:rFonts w:eastAsiaTheme="minorEastAsia"/>
        </w:rPr>
        <w:footnoteReference w:id="7"/>
      </w:r>
      <w:r>
        <w:rPr>
          <w:iCs/>
        </w:rPr>
        <w:t xml:space="preserve"> </w:t>
      </w:r>
      <w:r w:rsidRPr="002C7700">
        <w:rPr>
          <w:color w:val="000000"/>
        </w:rPr>
        <w:t xml:space="preserve">In this regard, World Health </w:t>
      </w:r>
      <w:proofErr w:type="spellStart"/>
      <w:r w:rsidRPr="002C7700">
        <w:rPr>
          <w:color w:val="000000"/>
        </w:rPr>
        <w:t>Organisation</w:t>
      </w:r>
      <w:proofErr w:type="spellEnd"/>
      <w:r w:rsidRPr="002C7700">
        <w:rPr>
          <w:color w:val="000000"/>
        </w:rPr>
        <w:t xml:space="preserve"> (WHO) defines eHealth as the cost-effective and secure use of information and communications technologies in support of health and health-related fields, including </w:t>
      </w:r>
      <w:r>
        <w:rPr>
          <w:color w:val="000000"/>
        </w:rPr>
        <w:t>healthcare</w:t>
      </w:r>
      <w:r w:rsidRPr="002C7700">
        <w:rPr>
          <w:color w:val="000000"/>
        </w:rPr>
        <w:t xml:space="preserve"> services, health surveillance, health literature, and health education, knowledge, and research.</w:t>
      </w:r>
      <w:r w:rsidRPr="009B498D">
        <w:rPr>
          <w:rStyle w:val="FootnoteReference"/>
          <w:rFonts w:eastAsiaTheme="minorEastAsia"/>
        </w:rPr>
        <w:footnoteReference w:id="8"/>
      </w:r>
      <w:r w:rsidRPr="002C7700">
        <w:rPr>
          <w:color w:val="000000"/>
        </w:rPr>
        <w:t xml:space="preserve"> </w:t>
      </w:r>
    </w:p>
    <w:p w14:paraId="63152982" w14:textId="77777777" w:rsidR="00FB0D84" w:rsidRDefault="00FB0D84" w:rsidP="00FB0D84">
      <w:pPr>
        <w:tabs>
          <w:tab w:val="left" w:pos="284"/>
        </w:tabs>
        <w:spacing w:before="120"/>
        <w:ind w:firstLine="567"/>
        <w:jc w:val="both"/>
        <w:rPr>
          <w:color w:val="000000"/>
        </w:rPr>
      </w:pPr>
      <w:r w:rsidRPr="00EE6960">
        <w:rPr>
          <w:color w:val="000000"/>
        </w:rPr>
        <w:t xml:space="preserve">In 2015, </w:t>
      </w:r>
      <w:proofErr w:type="spellStart"/>
      <w:r w:rsidRPr="00EE6960">
        <w:rPr>
          <w:color w:val="000000"/>
        </w:rPr>
        <w:t>Emiel</w:t>
      </w:r>
      <w:proofErr w:type="spellEnd"/>
      <w:r w:rsidRPr="00EE6960">
        <w:rPr>
          <w:color w:val="000000"/>
        </w:rPr>
        <w:t xml:space="preserve"> et al attempted to refine the definition of eHealth formulated by G </w:t>
      </w:r>
      <w:proofErr w:type="spellStart"/>
      <w:r w:rsidRPr="00EE6960">
        <w:rPr>
          <w:color w:val="000000"/>
        </w:rPr>
        <w:t>Eysenbach</w:t>
      </w:r>
      <w:proofErr w:type="spellEnd"/>
      <w:r w:rsidRPr="00EE6960">
        <w:rPr>
          <w:color w:val="000000"/>
        </w:rPr>
        <w:t>, by modifying its meaning slightly, as follows:</w:t>
      </w:r>
    </w:p>
    <w:p w14:paraId="3DE6429C" w14:textId="77777777" w:rsidR="00FB0D84" w:rsidRPr="00EE6960" w:rsidRDefault="00FB0D84" w:rsidP="00FB0D84">
      <w:pPr>
        <w:autoSpaceDE w:val="0"/>
        <w:autoSpaceDN w:val="0"/>
        <w:adjustRightInd w:val="0"/>
        <w:spacing w:before="120"/>
        <w:ind w:left="567" w:right="662"/>
        <w:jc w:val="both"/>
        <w:rPr>
          <w:i/>
          <w:iCs/>
        </w:rPr>
      </w:pPr>
      <w:r w:rsidRPr="00EE6960">
        <w:rPr>
          <w:i/>
          <w:iCs/>
        </w:rPr>
        <w:t>eHealth is an emerging field of medical informatics, referring to the organization and delivery of health services and information using the Internet and related technologies. In a broader sense, the term characterizes not only a technical development, but also a new way of working, an attitude, and a commitment for networked, global thinking, to improve health care locally, regionally, and worldwide by using information and communication technology.</w:t>
      </w:r>
    </w:p>
    <w:p w14:paraId="4596211B" w14:textId="77777777" w:rsidR="00FB0D84" w:rsidRDefault="00FB0D84" w:rsidP="00FB0D84">
      <w:pPr>
        <w:tabs>
          <w:tab w:val="left" w:pos="284"/>
        </w:tabs>
        <w:spacing w:before="120"/>
        <w:ind w:firstLine="567"/>
        <w:jc w:val="both"/>
      </w:pPr>
      <w:r w:rsidRPr="000B7035">
        <w:rPr>
          <w:color w:val="000000"/>
        </w:rPr>
        <w:t xml:space="preserve">In 2020, </w:t>
      </w:r>
      <w:proofErr w:type="spellStart"/>
      <w:r w:rsidRPr="000B7035">
        <w:rPr>
          <w:color w:val="000000"/>
        </w:rPr>
        <w:t>Dymyt</w:t>
      </w:r>
      <w:proofErr w:type="spellEnd"/>
      <w:r w:rsidRPr="000B7035">
        <w:rPr>
          <w:color w:val="000000"/>
        </w:rPr>
        <w:t>, Malgorzata, stated that "Progress of digital technologies contributes to the dynamic development of eHealth, including services and tools for mobile health (mHealth) and telemedicine".</w:t>
      </w:r>
      <w:r w:rsidRPr="009B498D">
        <w:rPr>
          <w:rStyle w:val="FootnoteReference"/>
          <w:rFonts w:eastAsiaTheme="minorEastAsia"/>
        </w:rPr>
        <w:footnoteReference w:id="9"/>
      </w:r>
      <w:r>
        <w:rPr>
          <w:color w:val="000000"/>
        </w:rPr>
        <w:t xml:space="preserve"> Furthermore, eHealth </w:t>
      </w:r>
      <w:r w:rsidRPr="008E45AE">
        <w:t>can be a source of benefits in</w:t>
      </w:r>
      <w:r>
        <w:t xml:space="preserve"> </w:t>
      </w:r>
      <w:r w:rsidRPr="008E45AE">
        <w:t>increasing the availability of health</w:t>
      </w:r>
      <w:r>
        <w:t xml:space="preserve"> </w:t>
      </w:r>
      <w:r w:rsidRPr="008E45AE">
        <w:t>services, improving communication</w:t>
      </w:r>
      <w:r>
        <w:t xml:space="preserve"> </w:t>
      </w:r>
      <w:r w:rsidRPr="008E45AE">
        <w:t>between participants of the health care</w:t>
      </w:r>
      <w:r>
        <w:t xml:space="preserve"> </w:t>
      </w:r>
      <w:r w:rsidRPr="008E45AE">
        <w:t xml:space="preserve">system, </w:t>
      </w:r>
      <w:r>
        <w:t xml:space="preserve">and </w:t>
      </w:r>
      <w:r w:rsidRPr="008E45AE">
        <w:t>providing high quality health</w:t>
      </w:r>
      <w:r>
        <w:t xml:space="preserve"> </w:t>
      </w:r>
      <w:r w:rsidRPr="008E45AE">
        <w:t>services that significantly influence the</w:t>
      </w:r>
      <w:r>
        <w:t xml:space="preserve"> </w:t>
      </w:r>
      <w:r w:rsidRPr="008E45AE">
        <w:t>patient safety.</w:t>
      </w:r>
      <w:r w:rsidRPr="009B498D">
        <w:rPr>
          <w:rStyle w:val="FootnoteReference"/>
          <w:rFonts w:eastAsiaTheme="minorEastAsia"/>
        </w:rPr>
        <w:footnoteReference w:id="10"/>
      </w:r>
    </w:p>
    <w:p w14:paraId="2B80D8C2" w14:textId="77777777" w:rsidR="00FB0D84" w:rsidRDefault="00FB0D84" w:rsidP="00FB0D84">
      <w:pPr>
        <w:tabs>
          <w:tab w:val="left" w:pos="284"/>
        </w:tabs>
        <w:spacing w:before="120"/>
        <w:ind w:firstLine="567"/>
        <w:jc w:val="both"/>
      </w:pPr>
      <w:r w:rsidRPr="00740DAC">
        <w:t xml:space="preserve">However, technology has a role to change social </w:t>
      </w:r>
      <w:proofErr w:type="spellStart"/>
      <w:r w:rsidRPr="00740DAC">
        <w:t>behaviours</w:t>
      </w:r>
      <w:proofErr w:type="spellEnd"/>
      <w:r w:rsidRPr="00740DAC">
        <w:t xml:space="preserve"> in various community activities. Here, the essence of social networking services is in exposing privacy and sharing personal information.</w:t>
      </w:r>
      <w:r w:rsidRPr="009B498D">
        <w:rPr>
          <w:rStyle w:val="FootnoteReference"/>
          <w:rFonts w:eastAsiaTheme="minorEastAsia"/>
        </w:rPr>
        <w:footnoteReference w:id="11"/>
      </w:r>
      <w:r w:rsidRPr="00740DAC">
        <w:t xml:space="preserve"> Thus, the impact that will arise is not only positive but also negative simultaneously changing human </w:t>
      </w:r>
      <w:proofErr w:type="spellStart"/>
      <w:r w:rsidRPr="00740DAC">
        <w:t>behaviours</w:t>
      </w:r>
      <w:proofErr w:type="spellEnd"/>
      <w:r w:rsidRPr="00740DAC">
        <w:t xml:space="preserve">. In contrast, the Internet can be said to be "the indispensable tool" in creating </w:t>
      </w:r>
      <w:r w:rsidRPr="00740DAC">
        <w:lastRenderedPageBreak/>
        <w:t>an Information Society</w:t>
      </w:r>
      <w:r w:rsidRPr="002855DD">
        <w:rPr>
          <w:color w:val="000000"/>
        </w:rPr>
        <w:t>.</w:t>
      </w:r>
      <w:r w:rsidRPr="009B498D">
        <w:rPr>
          <w:rStyle w:val="FootnoteReference"/>
          <w:rFonts w:eastAsiaTheme="minorEastAsia"/>
        </w:rPr>
        <w:footnoteReference w:id="12"/>
      </w:r>
      <w:r w:rsidRPr="00740DAC">
        <w:t xml:space="preserve"> Meanwhile, from the opposing side comes a new type of crime that can virtually harm the community.</w:t>
      </w:r>
    </w:p>
    <w:p w14:paraId="09085D0D" w14:textId="77777777" w:rsidR="00FB0D84" w:rsidRDefault="00FB0D84" w:rsidP="00FB0D84">
      <w:pPr>
        <w:tabs>
          <w:tab w:val="left" w:pos="284"/>
        </w:tabs>
        <w:spacing w:before="120"/>
        <w:ind w:firstLine="567"/>
        <w:jc w:val="both"/>
        <w:rPr>
          <w:color w:val="000000"/>
        </w:rPr>
      </w:pPr>
      <w:bookmarkStart w:id="1" w:name="_Hlk111034555"/>
      <w:r w:rsidRPr="002855DD">
        <w:rPr>
          <w:color w:val="000000"/>
        </w:rPr>
        <w:t>In this case, Howard reminded the flow of personal data of internet users continues to occur to companies providing digital services (social media, search engines, e-commerce, and others)-as long as internet users actively use these services.</w:t>
      </w:r>
      <w:r w:rsidRPr="009B498D">
        <w:rPr>
          <w:rStyle w:val="FootnoteReference"/>
          <w:rFonts w:eastAsiaTheme="minorEastAsia"/>
        </w:rPr>
        <w:footnoteReference w:id="13"/>
      </w:r>
      <w:r w:rsidRPr="002855DD">
        <w:rPr>
          <w:color w:val="000000"/>
        </w:rPr>
        <w:t xml:space="preserve"> Thus, the public must be vigilant in the use of Internet-based digital media, because their personal data is very vulnerable to being used by irresponsible parties.</w:t>
      </w:r>
    </w:p>
    <w:p w14:paraId="20E675A5" w14:textId="77777777" w:rsidR="00FB0D84" w:rsidRDefault="00FB0D84" w:rsidP="00FB0D84">
      <w:pPr>
        <w:tabs>
          <w:tab w:val="left" w:pos="284"/>
        </w:tabs>
        <w:spacing w:before="120"/>
        <w:ind w:firstLine="567"/>
        <w:jc w:val="both"/>
        <w:rPr>
          <w:color w:val="000000" w:themeColor="text1"/>
        </w:rPr>
      </w:pPr>
      <w:r w:rsidRPr="007474E9">
        <w:rPr>
          <w:color w:val="000000" w:themeColor="text1"/>
        </w:rPr>
        <w:t xml:space="preserve">Consumers, who in this case are referred to as service users, will of course allow their personal data or medical data to be processed and stored in a system owned by service providers. According to the author, there are 2 (two) risks faced by consumers, namely first, the risk of </w:t>
      </w:r>
      <w:r>
        <w:rPr>
          <w:color w:val="000000" w:themeColor="text1"/>
        </w:rPr>
        <w:t>“</w:t>
      </w:r>
      <w:r w:rsidRPr="007474E9">
        <w:rPr>
          <w:color w:val="000000" w:themeColor="text1"/>
        </w:rPr>
        <w:t>data breaches</w:t>
      </w:r>
      <w:r>
        <w:rPr>
          <w:color w:val="000000" w:themeColor="text1"/>
        </w:rPr>
        <w:t>”</w:t>
      </w:r>
      <w:r w:rsidRPr="007474E9">
        <w:rPr>
          <w:color w:val="000000" w:themeColor="text1"/>
        </w:rPr>
        <w:t xml:space="preserve"> being misused by the </w:t>
      </w:r>
      <w:r>
        <w:rPr>
          <w:color w:val="000000" w:themeColor="text1"/>
        </w:rPr>
        <w:t>business actor</w:t>
      </w:r>
      <w:r w:rsidRPr="007474E9">
        <w:rPr>
          <w:color w:val="000000" w:themeColor="text1"/>
        </w:rPr>
        <w:t xml:space="preserve"> to be used for business purposes for the service provider, and second, the risk of leaking data stored in the system owned by the service provider. services due to illegal access by irresponsible parties</w:t>
      </w:r>
      <w:r>
        <w:rPr>
          <w:color w:val="000000" w:themeColor="text1"/>
        </w:rPr>
        <w:t xml:space="preserve"> or </w:t>
      </w:r>
      <w:r w:rsidRPr="00B64612">
        <w:rPr>
          <w:color w:val="000000" w:themeColor="text1"/>
        </w:rPr>
        <w:t>the perpetrator</w:t>
      </w:r>
      <w:r>
        <w:rPr>
          <w:color w:val="000000" w:themeColor="text1"/>
        </w:rPr>
        <w:t>s</w:t>
      </w:r>
      <w:r w:rsidRPr="00B64612">
        <w:rPr>
          <w:color w:val="000000" w:themeColor="text1"/>
        </w:rPr>
        <w:t>.</w:t>
      </w:r>
    </w:p>
    <w:p w14:paraId="443BFE14" w14:textId="77777777" w:rsidR="00FB0D84" w:rsidRDefault="00FB0D84" w:rsidP="00FB0D84">
      <w:pPr>
        <w:tabs>
          <w:tab w:val="left" w:pos="284"/>
        </w:tabs>
        <w:spacing w:before="120"/>
        <w:ind w:firstLine="567"/>
        <w:jc w:val="both"/>
        <w:rPr>
          <w:color w:val="000000" w:themeColor="text1"/>
        </w:rPr>
      </w:pPr>
      <w:r w:rsidRPr="007474E9">
        <w:rPr>
          <w:color w:val="000000" w:themeColor="text1"/>
        </w:rPr>
        <w:t>The second risk is often called the risk associated with "data theft". E-Health, which is facilitated by ICT infrastructure, is of course very vulnerable to this type of crime. Criminals will try to retrieve data, for business purposes as well as for financial purposes. In view of this, several developed countries are very concerned about this issue. Several countries have made or revised personal data protection rules, and some countries have also prepared data protection rules related to this E-Health activity.</w:t>
      </w:r>
    </w:p>
    <w:bookmarkEnd w:id="1"/>
    <w:p w14:paraId="4C8F1583" w14:textId="77777777" w:rsidR="00FB0D84" w:rsidRDefault="00FB0D84" w:rsidP="00FB0D84">
      <w:pPr>
        <w:tabs>
          <w:tab w:val="left" w:pos="284"/>
        </w:tabs>
        <w:spacing w:before="120"/>
        <w:ind w:firstLine="567"/>
        <w:jc w:val="both"/>
        <w:rPr>
          <w:color w:val="000000"/>
        </w:rPr>
      </w:pPr>
      <w:r w:rsidRPr="002855DD">
        <w:rPr>
          <w:color w:val="000000"/>
        </w:rPr>
        <w:t>Thus, it's not surprising that legal issues in the digital era are getting the world's attention, one of which is the issue of data protection. Starting from the reform of data protection regulations in the European Union as contained in the General Data Protection Regulation (GDPR) in 2016. This regulation provides data protection efforts both inside and outside the European Union Region. These regulations, inspire other countries to make improvements to their country's regulations, taking into account the latest developments in information technology.</w:t>
      </w:r>
    </w:p>
    <w:p w14:paraId="28393109" w14:textId="77777777" w:rsidR="00FB0D84" w:rsidRDefault="00FB0D84" w:rsidP="00FB0D84">
      <w:pPr>
        <w:tabs>
          <w:tab w:val="left" w:pos="284"/>
        </w:tabs>
        <w:spacing w:before="120"/>
        <w:ind w:firstLine="567"/>
        <w:jc w:val="both"/>
        <w:rPr>
          <w:color w:val="000000" w:themeColor="text1"/>
          <w:shd w:val="clear" w:color="auto" w:fill="FFFFFF"/>
        </w:rPr>
      </w:pPr>
      <w:r w:rsidRPr="00C16369">
        <w:rPr>
          <w:color w:val="000000"/>
        </w:rPr>
        <w:t>In Indonesia, recent progress has been made in terms of data protection regulations. On September 20, 2022, through the Plenary Meeting of the DPR RI, the draft Personal Data Protection Law was passed into law</w:t>
      </w:r>
      <w:r>
        <w:rPr>
          <w:color w:val="000000"/>
        </w:rPr>
        <w:t xml:space="preserve"> (PDP Law 2022)</w:t>
      </w:r>
      <w:r w:rsidRPr="00C16369">
        <w:rPr>
          <w:color w:val="000000"/>
        </w:rPr>
        <w:t>.</w:t>
      </w:r>
      <w:r w:rsidRPr="009B498D">
        <w:rPr>
          <w:rStyle w:val="FootnoteReference"/>
          <w:rFonts w:eastAsiaTheme="minorEastAsia"/>
        </w:rPr>
        <w:footnoteReference w:id="14"/>
      </w:r>
      <w:r>
        <w:rPr>
          <w:color w:val="000000" w:themeColor="text1"/>
          <w:shd w:val="clear" w:color="auto" w:fill="FFFFFF"/>
        </w:rPr>
        <w:t xml:space="preserve"> </w:t>
      </w:r>
      <w:r w:rsidRPr="00C16369">
        <w:rPr>
          <w:color w:val="000000" w:themeColor="text1"/>
          <w:shd w:val="clear" w:color="auto" w:fill="FFFFFF"/>
        </w:rPr>
        <w:t xml:space="preserve">This new regulation is expected to be used as a "legal umbrella" in the digital sector. The passage of </w:t>
      </w:r>
      <w:r>
        <w:rPr>
          <w:color w:val="000000" w:themeColor="text1"/>
          <w:shd w:val="clear" w:color="auto" w:fill="FFFFFF"/>
        </w:rPr>
        <w:t>t</w:t>
      </w:r>
      <w:r w:rsidRPr="00C16369">
        <w:rPr>
          <w:color w:val="000000" w:themeColor="text1"/>
          <w:shd w:val="clear" w:color="auto" w:fill="FFFFFF"/>
        </w:rPr>
        <w:t xml:space="preserve">he </w:t>
      </w:r>
      <w:r w:rsidRPr="00C16369">
        <w:rPr>
          <w:color w:val="000000" w:themeColor="text1"/>
          <w:shd w:val="clear" w:color="auto" w:fill="FFFFFF"/>
        </w:rPr>
        <w:t>bill into law is also a major success and progress in realizing personal data governance in Indonesia.</w:t>
      </w:r>
      <w:r>
        <w:rPr>
          <w:color w:val="000000" w:themeColor="text1"/>
          <w:shd w:val="clear" w:color="auto" w:fill="FFFFFF"/>
        </w:rPr>
        <w:t xml:space="preserve"> </w:t>
      </w:r>
      <w:r w:rsidRPr="00C16369">
        <w:rPr>
          <w:color w:val="000000" w:themeColor="text1"/>
          <w:shd w:val="clear" w:color="auto" w:fill="FFFFFF"/>
        </w:rPr>
        <w:t>Thus, for E-health service providers, both public and private, to improve security systems, comply with responsibilities, and maintain the personal data they manage, both general and specific</w:t>
      </w:r>
      <w:r>
        <w:rPr>
          <w:color w:val="000000" w:themeColor="text1"/>
          <w:shd w:val="clear" w:color="auto" w:fill="FFFFFF"/>
        </w:rPr>
        <w:t xml:space="preserve"> data</w:t>
      </w:r>
      <w:r w:rsidRPr="00C16369">
        <w:rPr>
          <w:color w:val="000000" w:themeColor="text1"/>
          <w:shd w:val="clear" w:color="auto" w:fill="FFFFFF"/>
        </w:rPr>
        <w:t>, as absolute compliance with personal data protection regulations.</w:t>
      </w:r>
    </w:p>
    <w:p w14:paraId="351AF612" w14:textId="77777777" w:rsidR="00FB0D84" w:rsidRPr="002855DD" w:rsidRDefault="00FB0D84" w:rsidP="00FB0D84">
      <w:pPr>
        <w:tabs>
          <w:tab w:val="left" w:pos="284"/>
        </w:tabs>
        <w:spacing w:before="120"/>
        <w:ind w:firstLine="567"/>
        <w:jc w:val="both"/>
        <w:rPr>
          <w:color w:val="000000"/>
        </w:rPr>
      </w:pPr>
      <w:r w:rsidRPr="006E38F4">
        <w:rPr>
          <w:color w:val="000000" w:themeColor="text1"/>
          <w:shd w:val="clear" w:color="auto" w:fill="FFFFFF"/>
        </w:rPr>
        <w:t xml:space="preserve">The risks associated with </w:t>
      </w:r>
      <w:r>
        <w:rPr>
          <w:color w:val="000000" w:themeColor="text1"/>
          <w:shd w:val="clear" w:color="auto" w:fill="FFFFFF"/>
        </w:rPr>
        <w:t>d</w:t>
      </w:r>
      <w:r w:rsidRPr="006E38F4">
        <w:rPr>
          <w:color w:val="000000" w:themeColor="text1"/>
          <w:shd w:val="clear" w:color="auto" w:fill="FFFFFF"/>
        </w:rPr>
        <w:t xml:space="preserve">ata </w:t>
      </w:r>
      <w:r>
        <w:rPr>
          <w:color w:val="000000" w:themeColor="text1"/>
          <w:shd w:val="clear" w:color="auto" w:fill="FFFFFF"/>
        </w:rPr>
        <w:t>breaches</w:t>
      </w:r>
      <w:r w:rsidRPr="006E38F4">
        <w:rPr>
          <w:color w:val="000000" w:themeColor="text1"/>
          <w:shd w:val="clear" w:color="auto" w:fill="FFFFFF"/>
        </w:rPr>
        <w:t xml:space="preserve"> and </w:t>
      </w:r>
      <w:r>
        <w:rPr>
          <w:color w:val="000000" w:themeColor="text1"/>
          <w:shd w:val="clear" w:color="auto" w:fill="FFFFFF"/>
        </w:rPr>
        <w:t>d</w:t>
      </w:r>
      <w:r w:rsidRPr="006E38F4">
        <w:rPr>
          <w:color w:val="000000" w:themeColor="text1"/>
          <w:shd w:val="clear" w:color="auto" w:fill="FFFFFF"/>
        </w:rPr>
        <w:t>ata</w:t>
      </w:r>
      <w:r>
        <w:rPr>
          <w:color w:val="000000" w:themeColor="text1"/>
          <w:shd w:val="clear" w:color="auto" w:fill="FFFFFF"/>
        </w:rPr>
        <w:t xml:space="preserve"> theft</w:t>
      </w:r>
      <w:r w:rsidRPr="006E38F4">
        <w:rPr>
          <w:color w:val="000000" w:themeColor="text1"/>
          <w:shd w:val="clear" w:color="auto" w:fill="FFFFFF"/>
        </w:rPr>
        <w:t xml:space="preserve"> are unavoidable.</w:t>
      </w:r>
      <w:bookmarkStart w:id="2" w:name="_Hlk111034629"/>
      <w:r>
        <w:rPr>
          <w:color w:val="000000" w:themeColor="text1"/>
          <w:shd w:val="clear" w:color="auto" w:fill="FFFFFF"/>
        </w:rPr>
        <w:t xml:space="preserve"> </w:t>
      </w:r>
      <w:r w:rsidRPr="0065706D">
        <w:rPr>
          <w:color w:val="000000"/>
        </w:rPr>
        <w:t>For example, for the first risk. "data breach".</w:t>
      </w:r>
      <w:r w:rsidRPr="002855DD">
        <w:rPr>
          <w:color w:val="000000"/>
        </w:rPr>
        <w:t>, in the USA, between 2009 and 2021, there were approximately 4,419 healthcare data breaches of 500 records. Those breaches of healthcare have in the loss, theft, exposure, or impermissible disclosure of 314,063,186 records. Meanwhile, in 2021, an average of 1.95 healthcare data breaches of 500 or more records were reported each day.</w:t>
      </w:r>
      <w:r w:rsidRPr="009B498D">
        <w:rPr>
          <w:rStyle w:val="FootnoteReference"/>
          <w:rFonts w:eastAsiaTheme="minorEastAsia"/>
        </w:rPr>
        <w:footnoteReference w:id="15"/>
      </w:r>
      <w:r w:rsidRPr="002855DD">
        <w:rPr>
          <w:color w:val="000000"/>
        </w:rPr>
        <w:t xml:space="preserve"> Furthermore, healthcareitnews.com writes that, on the dark web, medical record data can be sold for up to $1000 per document.</w:t>
      </w:r>
    </w:p>
    <w:p w14:paraId="665ED52C" w14:textId="77777777" w:rsidR="00FB0D84" w:rsidRDefault="00FB0D84" w:rsidP="00FB0D84">
      <w:pPr>
        <w:tabs>
          <w:tab w:val="left" w:pos="284"/>
        </w:tabs>
        <w:spacing w:before="120"/>
        <w:ind w:firstLine="567"/>
        <w:jc w:val="both"/>
        <w:rPr>
          <w:color w:val="000000"/>
        </w:rPr>
      </w:pPr>
      <w:r w:rsidRPr="002855DD">
        <w:rPr>
          <w:color w:val="000000"/>
        </w:rPr>
        <w:t>Here, the channels of communication and commerce provided</w:t>
      </w:r>
      <w:r w:rsidRPr="002855DD">
        <w:rPr>
          <w:color w:val="000000" w:themeColor="text1"/>
        </w:rPr>
        <w:t xml:space="preserve"> by the Internet easily transcend national boundaries.</w:t>
      </w:r>
      <w:r w:rsidRPr="009B498D">
        <w:rPr>
          <w:rStyle w:val="FootnoteReference"/>
          <w:rFonts w:eastAsiaTheme="minorEastAsia"/>
        </w:rPr>
        <w:footnoteReference w:id="16"/>
      </w:r>
      <w:r w:rsidRPr="002855DD">
        <w:rPr>
          <w:color w:val="000000" w:themeColor="text1"/>
        </w:rPr>
        <w:t xml:space="preserve"> However, problems in the jurisdiction field, for example, personal jurisdiction applies with a defendant amenable to our jurisdiction if the person is present here.</w:t>
      </w:r>
      <w:r w:rsidRPr="009B498D">
        <w:rPr>
          <w:rStyle w:val="FootnoteReference"/>
          <w:rFonts w:eastAsiaTheme="minorEastAsia"/>
        </w:rPr>
        <w:footnoteReference w:id="17"/>
      </w:r>
      <w:r w:rsidRPr="002855DD">
        <w:rPr>
          <w:color w:val="000000" w:themeColor="text1"/>
        </w:rPr>
        <w:t xml:space="preserve"> It is very difficult to prove the existence of perpetrators in cyberspace.</w:t>
      </w:r>
      <w:bookmarkEnd w:id="2"/>
      <w:r>
        <w:rPr>
          <w:color w:val="000000" w:themeColor="text1"/>
        </w:rPr>
        <w:t xml:space="preserve"> </w:t>
      </w:r>
      <w:r w:rsidRPr="002855DD">
        <w:rPr>
          <w:color w:val="000000"/>
        </w:rPr>
        <w:t xml:space="preserve">This worrying thing in Indonesia will also happen. Cases such as administrative data theft, </w:t>
      </w:r>
      <w:r>
        <w:rPr>
          <w:color w:val="000000"/>
        </w:rPr>
        <w:t>h</w:t>
      </w:r>
      <w:r w:rsidRPr="002855DD">
        <w:rPr>
          <w:color w:val="000000"/>
        </w:rPr>
        <w:t xml:space="preserve">acking for insurance claim fraud, insurance card fraud, drug prescription fraud, and Use of health information for extortion. </w:t>
      </w:r>
    </w:p>
    <w:p w14:paraId="5F24E182" w14:textId="77777777" w:rsidR="00FB0D84" w:rsidRDefault="00FB0D84" w:rsidP="00FB0D84">
      <w:pPr>
        <w:tabs>
          <w:tab w:val="left" w:pos="284"/>
        </w:tabs>
        <w:spacing w:before="120"/>
        <w:ind w:firstLine="567"/>
        <w:jc w:val="both"/>
        <w:rPr>
          <w:color w:val="000000"/>
        </w:rPr>
      </w:pPr>
      <w:r w:rsidRPr="0065706D">
        <w:rPr>
          <w:color w:val="000000"/>
        </w:rPr>
        <w:t>As for the second risk "data theft" many cases occur in Indonesia.</w:t>
      </w:r>
      <w:r>
        <w:rPr>
          <w:color w:val="000000"/>
        </w:rPr>
        <w:t xml:space="preserve"> </w:t>
      </w:r>
      <w:r w:rsidRPr="0040578D">
        <w:rPr>
          <w:color w:val="000000"/>
        </w:rPr>
        <w:t xml:space="preserve">In January 2022, as many as 6 million patient data from many hospitals in Indonesia were leaked and sold on </w:t>
      </w:r>
      <w:proofErr w:type="spellStart"/>
      <w:r w:rsidRPr="0040578D">
        <w:rPr>
          <w:color w:val="000000"/>
        </w:rPr>
        <w:t>RaidForums</w:t>
      </w:r>
      <w:proofErr w:type="spellEnd"/>
      <w:r w:rsidRPr="0040578D">
        <w:rPr>
          <w:color w:val="000000"/>
        </w:rPr>
        <w:t>. The leaked data is not only population data but also patient medical data such as medical photos, patient administration data, laboratory test results, ECG</w:t>
      </w:r>
      <w:r>
        <w:rPr>
          <w:color w:val="000000"/>
        </w:rPr>
        <w:t>,</w:t>
      </w:r>
      <w:r w:rsidRPr="0040578D">
        <w:rPr>
          <w:color w:val="000000"/>
        </w:rPr>
        <w:t xml:space="preserve"> and radiology data.</w:t>
      </w:r>
      <w:r w:rsidRPr="009B498D">
        <w:rPr>
          <w:rStyle w:val="FootnoteReference"/>
          <w:rFonts w:eastAsiaTheme="minorEastAsia"/>
        </w:rPr>
        <w:footnoteReference w:id="18"/>
      </w:r>
      <w:r w:rsidRPr="00A65562">
        <w:t xml:space="preserve"> </w:t>
      </w:r>
      <w:r w:rsidRPr="00A65562">
        <w:rPr>
          <w:color w:val="000000"/>
        </w:rPr>
        <w:t xml:space="preserve">According to </w:t>
      </w:r>
      <w:proofErr w:type="spellStart"/>
      <w:r w:rsidRPr="00A65562">
        <w:rPr>
          <w:color w:val="000000"/>
        </w:rPr>
        <w:t>Alfons</w:t>
      </w:r>
      <w:proofErr w:type="spellEnd"/>
      <w:r w:rsidRPr="00A65562">
        <w:rPr>
          <w:color w:val="000000"/>
        </w:rPr>
        <w:t xml:space="preserve"> </w:t>
      </w:r>
      <w:proofErr w:type="spellStart"/>
      <w:r w:rsidRPr="00A65562">
        <w:rPr>
          <w:color w:val="000000"/>
        </w:rPr>
        <w:t>Tanujaya</w:t>
      </w:r>
      <w:proofErr w:type="spellEnd"/>
      <w:r w:rsidRPr="00A65562">
        <w:rPr>
          <w:color w:val="000000"/>
        </w:rPr>
        <w:t>, "Leaked medical data can be misused and result in huge losses for the owner".</w:t>
      </w:r>
      <w:r w:rsidRPr="009B498D">
        <w:rPr>
          <w:rStyle w:val="FootnoteReference"/>
          <w:rFonts w:eastAsiaTheme="minorEastAsia"/>
        </w:rPr>
        <w:footnoteReference w:id="19"/>
      </w:r>
    </w:p>
    <w:p w14:paraId="24EC20FA" w14:textId="77777777" w:rsidR="00FB0D84" w:rsidRDefault="00FB0D84" w:rsidP="00FB0D84">
      <w:pPr>
        <w:tabs>
          <w:tab w:val="left" w:pos="284"/>
        </w:tabs>
        <w:spacing w:before="120"/>
        <w:ind w:firstLine="567"/>
        <w:jc w:val="both"/>
        <w:rPr>
          <w:color w:val="000000"/>
        </w:rPr>
      </w:pPr>
      <w:r w:rsidRPr="00743BEB">
        <w:rPr>
          <w:color w:val="000000"/>
        </w:rPr>
        <w:t>From the business aspect, business people not only have an obligation to protect data during the processing of personal data, but also have an obligation to protect it like protecting assets.</w:t>
      </w:r>
      <w:r w:rsidRPr="009B498D">
        <w:rPr>
          <w:rStyle w:val="FootnoteReference"/>
          <w:rFonts w:eastAsiaTheme="minorEastAsia"/>
        </w:rPr>
        <w:footnoteReference w:id="20"/>
      </w:r>
      <w:r>
        <w:rPr>
          <w:color w:val="000000"/>
        </w:rPr>
        <w:t xml:space="preserve"> </w:t>
      </w:r>
      <w:r w:rsidRPr="00743BEB">
        <w:rPr>
          <w:color w:val="000000"/>
        </w:rPr>
        <w:t xml:space="preserve">It is as </w:t>
      </w:r>
      <w:proofErr w:type="spellStart"/>
      <w:r w:rsidRPr="00743BEB">
        <w:rPr>
          <w:color w:val="000000"/>
        </w:rPr>
        <w:t>Almunia</w:t>
      </w:r>
      <w:proofErr w:type="spellEnd"/>
      <w:r w:rsidRPr="00743BEB">
        <w:rPr>
          <w:color w:val="000000"/>
        </w:rPr>
        <w:t xml:space="preserve"> said</w:t>
      </w:r>
      <w:r>
        <w:rPr>
          <w:color w:val="000000"/>
        </w:rPr>
        <w:t xml:space="preserve"> that “</w:t>
      </w:r>
      <w:r w:rsidRPr="000E5088">
        <w:rPr>
          <w:color w:val="000000"/>
        </w:rPr>
        <w:t>Today, personal data are a type of asset for companies</w:t>
      </w:r>
      <w:r>
        <w:rPr>
          <w:color w:val="000000"/>
        </w:rPr>
        <w:t>”</w:t>
      </w:r>
      <w:r w:rsidRPr="000E5088">
        <w:rPr>
          <w:color w:val="000000"/>
        </w:rPr>
        <w:t>.</w:t>
      </w:r>
      <w:r w:rsidRPr="009B498D">
        <w:rPr>
          <w:rStyle w:val="FootnoteReference"/>
          <w:rFonts w:eastAsiaTheme="minorEastAsia"/>
        </w:rPr>
        <w:footnoteReference w:id="21"/>
      </w:r>
      <w:r w:rsidRPr="000E5088">
        <w:rPr>
          <w:color w:val="000000"/>
        </w:rPr>
        <w:t xml:space="preserve"> </w:t>
      </w:r>
      <w:r>
        <w:rPr>
          <w:color w:val="000000"/>
        </w:rPr>
        <w:t>It</w:t>
      </w:r>
      <w:r w:rsidRPr="00743BEB">
        <w:rPr>
          <w:color w:val="000000"/>
        </w:rPr>
        <w:t xml:space="preserve"> is because, in the free movement of such data, private </w:t>
      </w:r>
      <w:r w:rsidRPr="00743BEB">
        <w:rPr>
          <w:color w:val="000000"/>
        </w:rPr>
        <w:lastRenderedPageBreak/>
        <w:t>businesses often massively process (collect, organize, alter, disclose, combine, erase or destroy) personal data.</w:t>
      </w:r>
      <w:r w:rsidRPr="009B498D">
        <w:rPr>
          <w:rStyle w:val="FootnoteReference"/>
          <w:rFonts w:eastAsiaTheme="minorEastAsia"/>
        </w:rPr>
        <w:footnoteReference w:id="22"/>
      </w:r>
    </w:p>
    <w:p w14:paraId="11B9EE1D" w14:textId="77777777" w:rsidR="00FB0D84" w:rsidRDefault="00FB0D84" w:rsidP="00FB0D84">
      <w:pPr>
        <w:tabs>
          <w:tab w:val="left" w:pos="284"/>
        </w:tabs>
        <w:spacing w:before="120"/>
        <w:ind w:firstLine="567"/>
        <w:jc w:val="both"/>
        <w:rPr>
          <w:color w:val="000000"/>
        </w:rPr>
      </w:pPr>
      <w:r w:rsidRPr="008E07E5">
        <w:rPr>
          <w:color w:val="000000"/>
        </w:rPr>
        <w:t xml:space="preserve">In this regard, </w:t>
      </w:r>
      <w:r w:rsidRPr="008E07E5">
        <w:t xml:space="preserve">Martin, Kelly D. et all </w:t>
      </w:r>
      <w:r w:rsidRPr="008E07E5">
        <w:rPr>
          <w:color w:val="000000"/>
        </w:rPr>
        <w:t>argue that customer perceptions of vulnerability to harm due to firm data practices better-conceptualizing data management effects than privacy concerns.</w:t>
      </w:r>
      <w:r w:rsidRPr="009B498D">
        <w:rPr>
          <w:rStyle w:val="FootnoteReference"/>
          <w:rFonts w:eastAsiaTheme="minorEastAsia"/>
        </w:rPr>
        <w:footnoteReference w:id="23"/>
      </w:r>
      <w:r>
        <w:rPr>
          <w:color w:val="000000"/>
        </w:rPr>
        <w:t xml:space="preserve"> </w:t>
      </w:r>
      <w:r w:rsidRPr="005427C7">
        <w:rPr>
          <w:color w:val="000000"/>
        </w:rPr>
        <w:t xml:space="preserve">The concern here is related to data privacy which is ignored by business actors. Thus, the author is very concerned that every business actor should pay attention to aspects of consumer data protection, especially related to medical record data which is part of eHealth services. </w:t>
      </w:r>
    </w:p>
    <w:p w14:paraId="24F09977" w14:textId="77777777" w:rsidR="00FB0D84" w:rsidRDefault="00FB0D84" w:rsidP="00FB0D84">
      <w:pPr>
        <w:tabs>
          <w:tab w:val="left" w:pos="284"/>
        </w:tabs>
        <w:spacing w:before="120"/>
        <w:ind w:firstLine="567"/>
        <w:jc w:val="both"/>
        <w:rPr>
          <w:color w:val="000000"/>
        </w:rPr>
      </w:pPr>
      <w:r>
        <w:rPr>
          <w:color w:val="000000"/>
        </w:rPr>
        <w:t xml:space="preserve">In this regard, </w:t>
      </w:r>
      <w:r w:rsidRPr="000C610E">
        <w:rPr>
          <w:color w:val="000000"/>
        </w:rPr>
        <w:t>Solove (2008) argued that the lack of regulations in the management of personal information by companies is the cause of abuses of personal information</w:t>
      </w:r>
      <w:r>
        <w:rPr>
          <w:color w:val="000000"/>
        </w:rPr>
        <w:t>.</w:t>
      </w:r>
      <w:r w:rsidRPr="009B498D">
        <w:rPr>
          <w:rStyle w:val="FootnoteReference"/>
          <w:rFonts w:eastAsiaTheme="minorEastAsia"/>
        </w:rPr>
        <w:footnoteReference w:id="24"/>
      </w:r>
      <w:r>
        <w:rPr>
          <w:color w:val="000000"/>
        </w:rPr>
        <w:t xml:space="preserve"> </w:t>
      </w:r>
      <w:r w:rsidRPr="005427C7">
        <w:rPr>
          <w:color w:val="000000"/>
        </w:rPr>
        <w:t xml:space="preserve">According to the author, </w:t>
      </w:r>
      <w:r>
        <w:rPr>
          <w:color w:val="000000"/>
        </w:rPr>
        <w:t>it</w:t>
      </w:r>
      <w:r w:rsidRPr="005427C7">
        <w:rPr>
          <w:color w:val="000000"/>
        </w:rPr>
        <w:t xml:space="preserve"> will become a big problem in the future if it is ignored. </w:t>
      </w:r>
      <w:r w:rsidRPr="002855DD">
        <w:rPr>
          <w:color w:val="000000"/>
        </w:rPr>
        <w:t>Become a worrying legal issue. Therefore, research related to legal issues in e-Health is very important to be carried out related to violations and crimes of illegal use of personal data.</w:t>
      </w:r>
    </w:p>
    <w:p w14:paraId="3D3C3648" w14:textId="77777777" w:rsidR="00FB0D84" w:rsidRDefault="00FB0D84" w:rsidP="00FB0D84">
      <w:pPr>
        <w:tabs>
          <w:tab w:val="left" w:pos="284"/>
        </w:tabs>
        <w:spacing w:before="120"/>
        <w:ind w:firstLine="567"/>
        <w:jc w:val="both"/>
        <w:rPr>
          <w:color w:val="000000"/>
        </w:rPr>
      </w:pPr>
      <w:r w:rsidRPr="005427C7">
        <w:rPr>
          <w:color w:val="000000"/>
        </w:rPr>
        <w:t>Regarding the protection of consumer data, the authors pay attention to various studies conducted by previous researchers.</w:t>
      </w:r>
      <w:r>
        <w:rPr>
          <w:color w:val="000000"/>
        </w:rPr>
        <w:t xml:space="preserve"> </w:t>
      </w:r>
      <w:r w:rsidRPr="005427C7">
        <w:rPr>
          <w:i/>
          <w:color w:val="000000"/>
        </w:rPr>
        <w:t>First</w:t>
      </w:r>
      <w:r>
        <w:rPr>
          <w:i/>
          <w:color w:val="000000"/>
        </w:rPr>
        <w:t>ly</w:t>
      </w:r>
      <w:r w:rsidRPr="005427C7">
        <w:rPr>
          <w:color w:val="000000"/>
        </w:rPr>
        <w:t xml:space="preserve">, the author pays attention to the results of research conducted by </w:t>
      </w:r>
      <w:proofErr w:type="spellStart"/>
      <w:r w:rsidRPr="005427C7">
        <w:rPr>
          <w:color w:val="000000"/>
        </w:rPr>
        <w:t>Dymyt</w:t>
      </w:r>
      <w:proofErr w:type="spellEnd"/>
      <w:r w:rsidRPr="005427C7">
        <w:rPr>
          <w:color w:val="000000"/>
        </w:rPr>
        <w:t>, Malgorzata with the paper title "The Role of eHealth in the Management of Patient Safety" which concludes that "the European Commission concerns related to electronic data exchange primarily regard the risk of breaching privacy, the cyber security threat and the quality and reliability of data.</w:t>
      </w:r>
      <w:r w:rsidRPr="009B498D">
        <w:rPr>
          <w:rStyle w:val="FootnoteReference"/>
          <w:rFonts w:eastAsiaTheme="minorEastAsia"/>
        </w:rPr>
        <w:footnoteReference w:id="25"/>
      </w:r>
      <w:r w:rsidRPr="005427C7">
        <w:rPr>
          <w:color w:val="000000"/>
        </w:rPr>
        <w:t xml:space="preserve"> </w:t>
      </w:r>
    </w:p>
    <w:p w14:paraId="49FB5002" w14:textId="77777777" w:rsidR="00FB0D84" w:rsidRDefault="00FB0D84" w:rsidP="00FB0D84">
      <w:pPr>
        <w:tabs>
          <w:tab w:val="left" w:pos="284"/>
        </w:tabs>
        <w:spacing w:before="120"/>
        <w:ind w:firstLine="567"/>
        <w:jc w:val="both"/>
        <w:rPr>
          <w:color w:val="000000"/>
        </w:rPr>
      </w:pPr>
      <w:r w:rsidRPr="005427C7">
        <w:rPr>
          <w:color w:val="000000"/>
        </w:rPr>
        <w:t xml:space="preserve">The results of this study also conclude that </w:t>
      </w:r>
      <w:r>
        <w:rPr>
          <w:color w:val="000000"/>
        </w:rPr>
        <w:t>t</w:t>
      </w:r>
      <w:r w:rsidRPr="005427C7">
        <w:rPr>
          <w:color w:val="000000"/>
        </w:rPr>
        <w:t>he implementation of digital solutions can be a source of threats, especially in terms of access to health data, the diversity of Electronic Medical Records, the lack of technical interoperability and access to digital health services. Therefore, the condition for the effective and safe use of digital technologies in health services is cooperation in the international dimension.</w:t>
      </w:r>
    </w:p>
    <w:p w14:paraId="49392D20" w14:textId="77777777" w:rsidR="00FB0D84" w:rsidRDefault="00FB0D84" w:rsidP="00FB0D84">
      <w:pPr>
        <w:tabs>
          <w:tab w:val="left" w:pos="284"/>
        </w:tabs>
        <w:spacing w:before="120"/>
        <w:ind w:firstLine="567"/>
        <w:jc w:val="both"/>
      </w:pPr>
      <w:r w:rsidRPr="004A2627">
        <w:rPr>
          <w:i/>
          <w:color w:val="000000"/>
        </w:rPr>
        <w:t>Secon</w:t>
      </w:r>
      <w:r w:rsidRPr="005B151D">
        <w:rPr>
          <w:i/>
          <w:color w:val="000000"/>
        </w:rPr>
        <w:t>dly</w:t>
      </w:r>
      <w:r w:rsidRPr="005B151D">
        <w:rPr>
          <w:color w:val="000000"/>
        </w:rPr>
        <w:t>, paper title of “</w:t>
      </w:r>
      <w:r w:rsidRPr="005B151D">
        <w:t>Health Data Security: A Privacy-Preserving Proposed Strategy for Bangladesh”</w:t>
      </w:r>
      <w:r>
        <w:t xml:space="preserve">. This paper concluded that there are </w:t>
      </w:r>
      <w:r w:rsidRPr="005B151D">
        <w:t xml:space="preserve">no data security or protection laws in Bangladesh. Most of the private healthcare organizations in Bangladesh use electronic means of record keeping which is by all means necessary. </w:t>
      </w:r>
      <w:r>
        <w:t>However,</w:t>
      </w:r>
      <w:r w:rsidRPr="005B151D">
        <w:t xml:space="preserve"> the data collection, storage or maintenance must ensure proper privacy, security and protection of these data as healthcare data is sensitive personal information.</w:t>
      </w:r>
      <w:r w:rsidRPr="009B498D">
        <w:rPr>
          <w:rStyle w:val="FootnoteReference"/>
          <w:rFonts w:eastAsiaTheme="minorEastAsia"/>
        </w:rPr>
        <w:footnoteReference w:id="26"/>
      </w:r>
    </w:p>
    <w:p w14:paraId="3184FAA5" w14:textId="77777777" w:rsidR="00FB0D84" w:rsidRPr="00090995" w:rsidRDefault="00FB0D84" w:rsidP="00FB0D84">
      <w:pPr>
        <w:tabs>
          <w:tab w:val="left" w:pos="284"/>
        </w:tabs>
        <w:spacing w:before="120"/>
        <w:ind w:firstLine="567"/>
        <w:jc w:val="both"/>
        <w:rPr>
          <w:color w:val="000000" w:themeColor="text1"/>
        </w:rPr>
      </w:pPr>
      <w:r w:rsidRPr="00D00651">
        <w:rPr>
          <w:i/>
        </w:rPr>
        <w:t>Thirdly</w:t>
      </w:r>
      <w:r>
        <w:t>, p</w:t>
      </w:r>
      <w:r w:rsidRPr="005B151D">
        <w:rPr>
          <w:color w:val="000000"/>
        </w:rPr>
        <w:t>aper title of</w:t>
      </w:r>
      <w:r>
        <w:rPr>
          <w:color w:val="000000"/>
        </w:rPr>
        <w:t xml:space="preserve"> “</w:t>
      </w:r>
      <w:proofErr w:type="spellStart"/>
      <w:r w:rsidRPr="0061270D">
        <w:rPr>
          <w:i/>
        </w:rPr>
        <w:t>Implikasi</w:t>
      </w:r>
      <w:proofErr w:type="spellEnd"/>
      <w:r w:rsidRPr="0061270D">
        <w:rPr>
          <w:i/>
        </w:rPr>
        <w:t xml:space="preserve"> </w:t>
      </w:r>
      <w:proofErr w:type="spellStart"/>
      <w:r w:rsidRPr="0061270D">
        <w:rPr>
          <w:i/>
        </w:rPr>
        <w:t>Penerapan</w:t>
      </w:r>
      <w:proofErr w:type="spellEnd"/>
      <w:r w:rsidRPr="0061270D">
        <w:rPr>
          <w:i/>
        </w:rPr>
        <w:t xml:space="preserve"> Program E-Health </w:t>
      </w:r>
      <w:proofErr w:type="spellStart"/>
      <w:r w:rsidRPr="0061270D">
        <w:rPr>
          <w:i/>
        </w:rPr>
        <w:t>Dihubungkan</w:t>
      </w:r>
      <w:proofErr w:type="spellEnd"/>
      <w:r w:rsidRPr="0061270D">
        <w:rPr>
          <w:i/>
        </w:rPr>
        <w:t xml:space="preserve"> </w:t>
      </w:r>
      <w:proofErr w:type="spellStart"/>
      <w:r w:rsidRPr="0061270D">
        <w:rPr>
          <w:i/>
        </w:rPr>
        <w:t>Dengan</w:t>
      </w:r>
      <w:proofErr w:type="spellEnd"/>
      <w:r w:rsidRPr="0061270D">
        <w:rPr>
          <w:i/>
        </w:rPr>
        <w:t xml:space="preserve"> </w:t>
      </w:r>
      <w:proofErr w:type="spellStart"/>
      <w:r w:rsidRPr="0061270D">
        <w:rPr>
          <w:i/>
        </w:rPr>
        <w:t>Perlindungan</w:t>
      </w:r>
      <w:proofErr w:type="spellEnd"/>
      <w:r w:rsidRPr="0061270D">
        <w:rPr>
          <w:i/>
        </w:rPr>
        <w:t xml:space="preserve"> Data </w:t>
      </w:r>
      <w:proofErr w:type="spellStart"/>
      <w:r w:rsidRPr="0061270D">
        <w:rPr>
          <w:i/>
        </w:rPr>
        <w:t>Pribadi</w:t>
      </w:r>
      <w:proofErr w:type="spellEnd"/>
      <w:r>
        <w:t xml:space="preserve">” </w:t>
      </w:r>
      <w:r w:rsidRPr="0061270D">
        <w:t>This study concludes that privacy protection for patient's personal data has not been fully guaranteed, although in general it has been regulated in various laws and regulations. For this reason, specific regulations are needed to provide maximum personal data protection. This results in the existence of personal data or medical records belonging to patients that can be easily accessed by other parties wit</w:t>
      </w:r>
      <w:r w:rsidRPr="00090995">
        <w:rPr>
          <w:color w:val="000000" w:themeColor="text1"/>
        </w:rPr>
        <w:t>hout the consent of the owner of the data concerned.</w:t>
      </w:r>
      <w:r w:rsidRPr="009B498D">
        <w:rPr>
          <w:rStyle w:val="FootnoteReference"/>
          <w:rFonts w:eastAsiaTheme="minorEastAsia"/>
        </w:rPr>
        <w:footnoteReference w:id="27"/>
      </w:r>
    </w:p>
    <w:p w14:paraId="5590537F" w14:textId="77777777" w:rsidR="00FB0D84" w:rsidRPr="00090995" w:rsidRDefault="00FB0D84" w:rsidP="00FB0D84">
      <w:pPr>
        <w:tabs>
          <w:tab w:val="left" w:pos="284"/>
        </w:tabs>
        <w:spacing w:before="120"/>
        <w:ind w:firstLine="567"/>
        <w:jc w:val="both"/>
        <w:rPr>
          <w:color w:val="000000" w:themeColor="text1"/>
        </w:rPr>
      </w:pPr>
      <w:r w:rsidRPr="00090995">
        <w:rPr>
          <w:color w:val="000000" w:themeColor="text1"/>
        </w:rPr>
        <w:t xml:space="preserve">Based on the things mentioned above, the authors want to continue the research by looking at the modus operandi of crime in </w:t>
      </w:r>
      <w:r>
        <w:rPr>
          <w:color w:val="000000" w:themeColor="text1"/>
        </w:rPr>
        <w:t>“data breaches”, and “</w:t>
      </w:r>
      <w:r w:rsidRPr="00090995">
        <w:rPr>
          <w:color w:val="000000" w:themeColor="text1"/>
        </w:rPr>
        <w:t>data theft</w:t>
      </w:r>
      <w:r>
        <w:rPr>
          <w:color w:val="000000" w:themeColor="text1"/>
        </w:rPr>
        <w:t>”</w:t>
      </w:r>
      <w:r w:rsidRPr="00090995">
        <w:rPr>
          <w:color w:val="000000" w:themeColor="text1"/>
        </w:rPr>
        <w:t xml:space="preserve"> carried out by means of Information and Communication Technology. It is an important to research to identify the types of theft mode, so that the author can </w:t>
      </w:r>
      <w:proofErr w:type="spellStart"/>
      <w:r w:rsidRPr="00090995">
        <w:rPr>
          <w:color w:val="000000" w:themeColor="text1"/>
        </w:rPr>
        <w:t>analyse</w:t>
      </w:r>
      <w:proofErr w:type="spellEnd"/>
      <w:r w:rsidRPr="00090995">
        <w:rPr>
          <w:color w:val="000000" w:themeColor="text1"/>
        </w:rPr>
        <w:t xml:space="preserve"> from the legal aspect related to the protection efforts. Thus, this research will be different from the previous research.</w:t>
      </w:r>
    </w:p>
    <w:p w14:paraId="1CE01AE3" w14:textId="77777777" w:rsidR="00FB0D84" w:rsidRPr="00090995" w:rsidRDefault="00FB0D84" w:rsidP="00FB0D84">
      <w:pPr>
        <w:tabs>
          <w:tab w:val="left" w:pos="284"/>
        </w:tabs>
        <w:spacing w:before="120"/>
        <w:ind w:firstLine="567"/>
        <w:jc w:val="both"/>
        <w:rPr>
          <w:color w:val="000000" w:themeColor="text1"/>
        </w:rPr>
      </w:pPr>
      <w:r w:rsidRPr="00090995">
        <w:rPr>
          <w:color w:val="000000" w:themeColor="text1"/>
        </w:rPr>
        <w:t xml:space="preserve">To examine efforts to protect consumer data in eHealth activities, the author will examine various laws and regulations that allow providing protection from the side of national regulations. In addition, it is also important to review the protection measures taken by electronic service providers related to </w:t>
      </w:r>
      <w:r>
        <w:rPr>
          <w:color w:val="000000" w:themeColor="text1"/>
        </w:rPr>
        <w:t>E-</w:t>
      </w:r>
      <w:r w:rsidRPr="00090995">
        <w:rPr>
          <w:color w:val="000000" w:themeColor="text1"/>
        </w:rPr>
        <w:t>Heath. Where in this case, business actors are also required to try to provide protection to their patients' personal data, as consumers.</w:t>
      </w:r>
    </w:p>
    <w:p w14:paraId="473332E0" w14:textId="75861ACE" w:rsidR="00F6048E" w:rsidRPr="00476CF0" w:rsidRDefault="00E148C0" w:rsidP="00B9416A">
      <w:pPr>
        <w:spacing w:before="120"/>
        <w:rPr>
          <w:b/>
          <w:color w:val="000000" w:themeColor="text1"/>
          <w:sz w:val="26"/>
          <w:szCs w:val="26"/>
        </w:rPr>
      </w:pPr>
      <w:r w:rsidRPr="00476CF0">
        <w:rPr>
          <w:b/>
          <w:color w:val="000000" w:themeColor="text1"/>
          <w:sz w:val="26"/>
          <w:szCs w:val="26"/>
        </w:rPr>
        <w:t>RESEARCH METHOD</w:t>
      </w:r>
    </w:p>
    <w:p w14:paraId="16AECEF9" w14:textId="77777777" w:rsidR="00EC504C" w:rsidRDefault="00EC504C" w:rsidP="00EC504C">
      <w:pPr>
        <w:spacing w:before="120"/>
        <w:ind w:firstLine="567"/>
        <w:jc w:val="both"/>
        <w:rPr>
          <w:color w:val="000000" w:themeColor="text1"/>
        </w:rPr>
      </w:pPr>
      <w:r>
        <w:rPr>
          <w:color w:val="000000" w:themeColor="text1"/>
        </w:rPr>
        <w:t>A</w:t>
      </w:r>
      <w:r w:rsidRPr="00C42B1A">
        <w:rPr>
          <w:color w:val="000000" w:themeColor="text1"/>
        </w:rPr>
        <w:t xml:space="preserve"> “qualitative empirical” approach</w:t>
      </w:r>
      <w:r>
        <w:rPr>
          <w:color w:val="000000" w:themeColor="text1"/>
        </w:rPr>
        <w:t xml:space="preserve"> </w:t>
      </w:r>
      <w:r w:rsidRPr="00C42B1A">
        <w:rPr>
          <w:color w:val="000000" w:themeColor="text1"/>
        </w:rPr>
        <w:t xml:space="preserve">will apply </w:t>
      </w:r>
      <w:r>
        <w:rPr>
          <w:color w:val="000000" w:themeColor="text1"/>
        </w:rPr>
        <w:t>in this research</w:t>
      </w:r>
      <w:r w:rsidRPr="00C42B1A">
        <w:rPr>
          <w:color w:val="000000" w:themeColor="text1"/>
        </w:rPr>
        <w:t>.</w:t>
      </w:r>
      <w:r>
        <w:rPr>
          <w:color w:val="000000" w:themeColor="text1"/>
        </w:rPr>
        <w:t xml:space="preserve"> Thus,</w:t>
      </w:r>
      <w:r w:rsidRPr="00C42B1A">
        <w:rPr>
          <w:color w:val="000000" w:themeColor="text1"/>
        </w:rPr>
        <w:t xml:space="preserve"> </w:t>
      </w:r>
      <w:r>
        <w:rPr>
          <w:color w:val="000000" w:themeColor="text1"/>
        </w:rPr>
        <w:t>it</w:t>
      </w:r>
      <w:r w:rsidRPr="00C42B1A">
        <w:rPr>
          <w:color w:val="000000" w:themeColor="text1"/>
        </w:rPr>
        <w:t xml:space="preserve"> will not do primary data collection through questionnaires. As a primary legal material, it is a statutory regulation in the field of Cyber</w:t>
      </w:r>
      <w:r>
        <w:rPr>
          <w:color w:val="000000" w:themeColor="text1"/>
        </w:rPr>
        <w:t>l</w:t>
      </w:r>
      <w:r w:rsidRPr="00C42B1A">
        <w:rPr>
          <w:color w:val="000000" w:themeColor="text1"/>
        </w:rPr>
        <w:t>aw. This research also relates to how the law is applied in practice.</w:t>
      </w:r>
      <w:r w:rsidRPr="009B498D">
        <w:rPr>
          <w:rStyle w:val="FootnoteReference"/>
          <w:rFonts w:eastAsiaTheme="minorEastAsia"/>
        </w:rPr>
        <w:footnoteReference w:id="28"/>
      </w:r>
      <w:r w:rsidRPr="00C42B1A">
        <w:rPr>
          <w:color w:val="000000" w:themeColor="text1"/>
        </w:rPr>
        <w:t xml:space="preserve"> While the method used is "socio-legal". It examines legal principles, and examines written regulations,</w:t>
      </w:r>
      <w:r w:rsidRPr="009B498D">
        <w:rPr>
          <w:rStyle w:val="FootnoteReference"/>
          <w:rFonts w:eastAsiaTheme="minorEastAsia"/>
        </w:rPr>
        <w:footnoteReference w:id="29"/>
      </w:r>
      <w:r w:rsidRPr="00C42B1A">
        <w:rPr>
          <w:color w:val="000000" w:themeColor="text1"/>
        </w:rPr>
        <w:t xml:space="preserve"> as well as considering the reality of society. </w:t>
      </w:r>
    </w:p>
    <w:p w14:paraId="4B46E10D" w14:textId="77777777" w:rsidR="00EC504C" w:rsidRPr="00C42B1A" w:rsidRDefault="00EC504C" w:rsidP="00EC504C">
      <w:pPr>
        <w:spacing w:before="120"/>
        <w:ind w:firstLine="567"/>
        <w:jc w:val="both"/>
        <w:rPr>
          <w:color w:val="000000" w:themeColor="text1"/>
        </w:rPr>
      </w:pPr>
      <w:r w:rsidRPr="00C42B1A">
        <w:rPr>
          <w:color w:val="000000" w:themeColor="text1"/>
        </w:rPr>
        <w:t xml:space="preserve">The reality of society is closely related to various legal issues in the use of </w:t>
      </w:r>
      <w:r>
        <w:rPr>
          <w:color w:val="000000" w:themeColor="text1"/>
        </w:rPr>
        <w:t>eHealth</w:t>
      </w:r>
      <w:r w:rsidRPr="00C42B1A">
        <w:rPr>
          <w:color w:val="000000" w:themeColor="text1"/>
        </w:rPr>
        <w:t xml:space="preserve">. Thus, it is very closely related to cyber law, where the development of </w:t>
      </w:r>
      <w:proofErr w:type="spellStart"/>
      <w:r>
        <w:rPr>
          <w:color w:val="000000" w:themeColor="text1"/>
        </w:rPr>
        <w:t>eHeath</w:t>
      </w:r>
      <w:proofErr w:type="spellEnd"/>
      <w:r w:rsidRPr="00C42B1A">
        <w:rPr>
          <w:color w:val="000000" w:themeColor="text1"/>
        </w:rPr>
        <w:t xml:space="preserve"> greatly influences social lifestyles in </w:t>
      </w:r>
      <w:r>
        <w:rPr>
          <w:color w:val="000000" w:themeColor="text1"/>
        </w:rPr>
        <w:t>health activity</w:t>
      </w:r>
      <w:r w:rsidRPr="00C42B1A">
        <w:rPr>
          <w:color w:val="000000" w:themeColor="text1"/>
        </w:rPr>
        <w:t xml:space="preserve"> which are ultimately vulnerable to crime and law violations.</w:t>
      </w:r>
      <w:r>
        <w:rPr>
          <w:color w:val="000000" w:themeColor="text1"/>
        </w:rPr>
        <w:t xml:space="preserve"> </w:t>
      </w:r>
      <w:r w:rsidRPr="00C42B1A">
        <w:rPr>
          <w:color w:val="000000" w:themeColor="text1"/>
        </w:rPr>
        <w:t xml:space="preserve">Here, law does not operate in a vacuum. It has to reflect social attitude and </w:t>
      </w:r>
      <w:proofErr w:type="spellStart"/>
      <w:r w:rsidRPr="00C42B1A">
        <w:rPr>
          <w:color w:val="000000" w:themeColor="text1"/>
        </w:rPr>
        <w:t>behaviour</w:t>
      </w:r>
      <w:proofErr w:type="spellEnd"/>
      <w:r w:rsidRPr="00C42B1A">
        <w:rPr>
          <w:color w:val="000000" w:themeColor="text1"/>
        </w:rPr>
        <w:t xml:space="preserve"> then it flows into proper channel.</w:t>
      </w:r>
      <w:r w:rsidRPr="009B498D">
        <w:rPr>
          <w:rStyle w:val="FootnoteReference"/>
          <w:rFonts w:eastAsiaTheme="minorEastAsia"/>
        </w:rPr>
        <w:footnoteReference w:id="30"/>
      </w:r>
    </w:p>
    <w:p w14:paraId="79348B35" w14:textId="77777777" w:rsidR="00EC504C" w:rsidRDefault="00EC504C" w:rsidP="00EC504C">
      <w:pPr>
        <w:spacing w:before="120"/>
        <w:ind w:firstLine="567"/>
        <w:jc w:val="both"/>
        <w:rPr>
          <w:color w:val="000000" w:themeColor="text1"/>
        </w:rPr>
      </w:pPr>
      <w:r w:rsidRPr="00C42B1A">
        <w:rPr>
          <w:color w:val="000000" w:themeColor="text1"/>
        </w:rPr>
        <w:lastRenderedPageBreak/>
        <w:t>The normative approach which will discuss matters related to legislation and a comparative law study approach</w:t>
      </w:r>
      <w:r>
        <w:rPr>
          <w:color w:val="000000" w:themeColor="text1"/>
        </w:rPr>
        <w:t xml:space="preserve"> with European Uni Regulation</w:t>
      </w:r>
      <w:r w:rsidRPr="00C42B1A">
        <w:rPr>
          <w:color w:val="000000" w:themeColor="text1"/>
        </w:rPr>
        <w:t>. In this study, the type of data used is secondary data derived from primary legal materials and secondary legal materials.</w:t>
      </w:r>
      <w:r w:rsidRPr="009B498D">
        <w:rPr>
          <w:rStyle w:val="FootnoteReference"/>
          <w:rFonts w:eastAsiaTheme="minorEastAsia"/>
        </w:rPr>
        <w:footnoteReference w:id="31"/>
      </w:r>
      <w:r w:rsidRPr="00C42B1A">
        <w:rPr>
          <w:color w:val="000000" w:themeColor="text1"/>
        </w:rPr>
        <w:t xml:space="preserve"> Thus, </w:t>
      </w:r>
      <w:r>
        <w:rPr>
          <w:color w:val="000000" w:themeColor="text1"/>
        </w:rPr>
        <w:t xml:space="preserve">it is important that </w:t>
      </w:r>
      <w:r w:rsidRPr="00C42B1A">
        <w:rPr>
          <w:color w:val="000000" w:themeColor="text1"/>
        </w:rPr>
        <w:t>Integration of social and legal research is essential for creating better administration of the society.</w:t>
      </w:r>
      <w:r w:rsidRPr="009B498D">
        <w:rPr>
          <w:rStyle w:val="FootnoteReference"/>
          <w:rFonts w:eastAsiaTheme="minorEastAsia"/>
        </w:rPr>
        <w:footnoteReference w:id="32"/>
      </w:r>
    </w:p>
    <w:p w14:paraId="555B7E3E" w14:textId="6FCD6823" w:rsidR="001139D4" w:rsidRPr="00476CF0" w:rsidRDefault="00EC504C" w:rsidP="00EC504C">
      <w:pPr>
        <w:spacing w:before="120"/>
        <w:ind w:firstLine="567"/>
        <w:jc w:val="both"/>
        <w:rPr>
          <w:color w:val="000000" w:themeColor="text1"/>
          <w:sz w:val="22"/>
          <w:szCs w:val="22"/>
        </w:rPr>
      </w:pPr>
      <w:r w:rsidRPr="00C42B1A">
        <w:rPr>
          <w:color w:val="000000" w:themeColor="text1"/>
        </w:rPr>
        <w:t>Primary legal materials are materials whose law has binding legal force, which includes legislation in the field of cyberlaw</w:t>
      </w:r>
      <w:r>
        <w:rPr>
          <w:color w:val="000000" w:themeColor="text1"/>
        </w:rPr>
        <w:t>, such as</w:t>
      </w:r>
      <w:r w:rsidRPr="00C42B1A">
        <w:rPr>
          <w:color w:val="000000" w:themeColor="text1"/>
        </w:rPr>
        <w:t xml:space="preserve"> </w:t>
      </w:r>
      <w:r>
        <w:rPr>
          <w:color w:val="000000" w:themeColor="text1"/>
        </w:rPr>
        <w:t xml:space="preserve">the PDP law 2022, the </w:t>
      </w:r>
      <w:r w:rsidRPr="00C42B1A">
        <w:rPr>
          <w:color w:val="000000" w:themeColor="text1"/>
        </w:rPr>
        <w:t>Law No. 19 of 2016 on Electronic Information and Transactions (ITE Law),</w:t>
      </w:r>
      <w:r w:rsidRPr="009B498D">
        <w:rPr>
          <w:rStyle w:val="FootnoteReference"/>
          <w:rFonts w:eastAsiaTheme="minorEastAsia"/>
        </w:rPr>
        <w:footnoteReference w:id="33"/>
      </w:r>
      <w:r w:rsidRPr="00C42B1A">
        <w:rPr>
          <w:color w:val="000000" w:themeColor="text1"/>
        </w:rPr>
        <w:t xml:space="preserve"> </w:t>
      </w:r>
      <w:r w:rsidRPr="00EC504C">
        <w:rPr>
          <w:shd w:val="clear" w:color="auto" w:fill="FFFFFF"/>
        </w:rPr>
        <w:t>Government Regulation No. 71 of 2019 on the Operation of Electronic Systems and Transactions, (PP PSTE),</w:t>
      </w:r>
      <w:r w:rsidRPr="00EC504C">
        <w:rPr>
          <w:rStyle w:val="FootnoteReference"/>
          <w:rFonts w:eastAsiaTheme="minorEastAsia"/>
        </w:rPr>
        <w:footnoteReference w:id="34"/>
      </w:r>
      <w:r w:rsidRPr="00EC504C">
        <w:rPr>
          <w:shd w:val="clear" w:color="auto" w:fill="FFFFFF"/>
        </w:rPr>
        <w:t xml:space="preserve"> Government Regulation No. 80 of 2019 on Trading Through Electronic Systems. (PP PMSE),</w:t>
      </w:r>
      <w:r w:rsidRPr="009B498D">
        <w:rPr>
          <w:rStyle w:val="FootnoteReference"/>
          <w:rFonts w:eastAsiaTheme="minorEastAsia"/>
        </w:rPr>
        <w:footnoteReference w:id="35"/>
      </w:r>
      <w:r w:rsidRPr="00C42B1A">
        <w:rPr>
          <w:color w:val="000000" w:themeColor="text1"/>
          <w:shd w:val="clear" w:color="auto" w:fill="FFFFFF"/>
        </w:rPr>
        <w:t xml:space="preserve"> and </w:t>
      </w:r>
      <w:r w:rsidRPr="00C42B1A">
        <w:rPr>
          <w:color w:val="000000" w:themeColor="text1"/>
        </w:rPr>
        <w:t xml:space="preserve">Regulation of The Minister of Communication and Informatics No. 20 of 2016 on </w:t>
      </w:r>
      <w:r>
        <w:rPr>
          <w:color w:val="000000" w:themeColor="text1"/>
        </w:rPr>
        <w:t xml:space="preserve">the </w:t>
      </w:r>
      <w:r w:rsidRPr="00C42B1A">
        <w:rPr>
          <w:color w:val="000000" w:themeColor="text1"/>
        </w:rPr>
        <w:t>Protection of Personal Data in Electronic Systems (</w:t>
      </w:r>
      <w:proofErr w:type="spellStart"/>
      <w:r w:rsidRPr="00C42B1A">
        <w:rPr>
          <w:color w:val="000000" w:themeColor="text1"/>
        </w:rPr>
        <w:t>Permen</w:t>
      </w:r>
      <w:proofErr w:type="spellEnd"/>
      <w:r w:rsidRPr="00C42B1A">
        <w:rPr>
          <w:color w:val="000000" w:themeColor="text1"/>
        </w:rPr>
        <w:t xml:space="preserve"> Data Protection)</w:t>
      </w:r>
      <w:r w:rsidRPr="009B498D">
        <w:rPr>
          <w:rStyle w:val="FootnoteReference"/>
          <w:rFonts w:eastAsiaTheme="minorEastAsia"/>
        </w:rPr>
        <w:footnoteReference w:id="36"/>
      </w:r>
      <w:r w:rsidRPr="00C42B1A">
        <w:rPr>
          <w:color w:val="000000" w:themeColor="text1"/>
        </w:rPr>
        <w:t xml:space="preserve"> </w:t>
      </w:r>
      <w:r w:rsidRPr="000E5272">
        <w:rPr>
          <w:color w:val="000000" w:themeColor="text1"/>
        </w:rPr>
        <w:t>as well as</w:t>
      </w:r>
      <w:r>
        <w:rPr>
          <w:color w:val="FF0000"/>
        </w:rPr>
        <w:t xml:space="preserve"> </w:t>
      </w:r>
      <w:r w:rsidRPr="00CF77ED">
        <w:rPr>
          <w:color w:val="000000" w:themeColor="text1"/>
        </w:rPr>
        <w:t>Law Number 8 of 1999 concerning Consumer Protection (Consumer Protection Act)</w:t>
      </w:r>
      <w:r>
        <w:rPr>
          <w:color w:val="000000" w:themeColor="text1"/>
        </w:rPr>
        <w:t xml:space="preserve">. </w:t>
      </w:r>
      <w:r w:rsidRPr="00C42B1A">
        <w:rPr>
          <w:color w:val="000000" w:themeColor="text1"/>
        </w:rPr>
        <w:t xml:space="preserve">While the secondary legal materials used are books, journals, news, and other written works related to Cyberlaw. The data in question is obtained by data collection techniques from literature studies, where its existence will be </w:t>
      </w:r>
      <w:r>
        <w:rPr>
          <w:color w:val="000000" w:themeColor="text1"/>
        </w:rPr>
        <w:t>analyzed</w:t>
      </w:r>
      <w:r w:rsidRPr="00C42B1A">
        <w:rPr>
          <w:color w:val="000000" w:themeColor="text1"/>
        </w:rPr>
        <w:t xml:space="preserve"> using qualitative data analysis techniques.</w:t>
      </w:r>
    </w:p>
    <w:p w14:paraId="7FFFE640" w14:textId="3F1FF711" w:rsidR="001765D7" w:rsidRPr="00476CF0" w:rsidRDefault="00E148C0" w:rsidP="00B9416A">
      <w:pPr>
        <w:spacing w:before="120"/>
        <w:jc w:val="both"/>
        <w:rPr>
          <w:b/>
          <w:color w:val="000000" w:themeColor="text1"/>
          <w:sz w:val="26"/>
          <w:szCs w:val="26"/>
        </w:rPr>
      </w:pPr>
      <w:r w:rsidRPr="00476CF0">
        <w:rPr>
          <w:b/>
          <w:color w:val="000000" w:themeColor="text1"/>
          <w:sz w:val="26"/>
          <w:szCs w:val="26"/>
        </w:rPr>
        <w:t xml:space="preserve">DISCUSSION AND ANALYSIS </w:t>
      </w:r>
    </w:p>
    <w:p w14:paraId="17FF1012" w14:textId="77777777" w:rsidR="00EC504C" w:rsidRPr="00735E84" w:rsidRDefault="00EC504C" w:rsidP="00EC504C">
      <w:pPr>
        <w:pStyle w:val="ListParagraph"/>
        <w:numPr>
          <w:ilvl w:val="0"/>
          <w:numId w:val="14"/>
        </w:numPr>
        <w:tabs>
          <w:tab w:val="left" w:pos="284"/>
        </w:tabs>
        <w:spacing w:before="120"/>
        <w:ind w:left="284" w:hanging="284"/>
        <w:contextualSpacing w:val="0"/>
        <w:jc w:val="both"/>
        <w:rPr>
          <w:b/>
          <w:color w:val="000000"/>
          <w:sz w:val="24"/>
          <w:szCs w:val="24"/>
        </w:rPr>
      </w:pPr>
      <w:r w:rsidRPr="00735E84">
        <w:rPr>
          <w:b/>
          <w:color w:val="000000"/>
          <w:sz w:val="24"/>
          <w:szCs w:val="24"/>
        </w:rPr>
        <w:t xml:space="preserve">Conceptual Framework of Data Protection on </w:t>
      </w:r>
      <w:r>
        <w:rPr>
          <w:b/>
          <w:color w:val="000000"/>
          <w:sz w:val="24"/>
          <w:szCs w:val="24"/>
        </w:rPr>
        <w:t>E-</w:t>
      </w:r>
      <w:r w:rsidRPr="00735E84">
        <w:rPr>
          <w:b/>
          <w:color w:val="000000"/>
          <w:sz w:val="24"/>
          <w:szCs w:val="24"/>
        </w:rPr>
        <w:t>Health</w:t>
      </w:r>
    </w:p>
    <w:p w14:paraId="2F184560" w14:textId="77777777" w:rsidR="00EC504C" w:rsidRPr="00E201F5" w:rsidRDefault="00EC504C" w:rsidP="00EC504C">
      <w:pPr>
        <w:pStyle w:val="ListParagraph"/>
        <w:numPr>
          <w:ilvl w:val="0"/>
          <w:numId w:val="16"/>
        </w:numPr>
        <w:tabs>
          <w:tab w:val="left" w:pos="284"/>
        </w:tabs>
        <w:spacing w:before="120"/>
        <w:ind w:hanging="720"/>
        <w:contextualSpacing w:val="0"/>
        <w:jc w:val="both"/>
        <w:rPr>
          <w:b/>
          <w:color w:val="000000"/>
          <w:shd w:val="clear" w:color="auto" w:fill="FFFFFF"/>
        </w:rPr>
      </w:pPr>
      <w:r w:rsidRPr="00E201F5">
        <w:rPr>
          <w:b/>
          <w:color w:val="000000"/>
          <w:shd w:val="clear" w:color="auto" w:fill="FFFFFF"/>
        </w:rPr>
        <w:t>Data Protection</w:t>
      </w:r>
      <w:r>
        <w:rPr>
          <w:b/>
          <w:color w:val="000000"/>
          <w:shd w:val="clear" w:color="auto" w:fill="FFFFFF"/>
        </w:rPr>
        <w:t xml:space="preserve"> Risk on E-Health</w:t>
      </w:r>
    </w:p>
    <w:p w14:paraId="512A4E9D" w14:textId="77777777" w:rsidR="00EC504C" w:rsidRDefault="00EC504C" w:rsidP="00EC504C">
      <w:pPr>
        <w:tabs>
          <w:tab w:val="left" w:pos="284"/>
        </w:tabs>
        <w:spacing w:before="120"/>
        <w:ind w:firstLine="567"/>
        <w:jc w:val="both"/>
        <w:rPr>
          <w:color w:val="000000"/>
          <w:shd w:val="clear" w:color="auto" w:fill="FFFFFF"/>
        </w:rPr>
      </w:pPr>
      <w:r w:rsidRPr="00BC12E5">
        <w:rPr>
          <w:color w:val="000000"/>
          <w:shd w:val="clear" w:color="auto" w:fill="FFFFFF"/>
        </w:rPr>
        <w:t>In the world of health, actually storing personal data is commonplace, the difference is that in the past, data was collected manually through books, but now it is collected in a digital space.</w:t>
      </w:r>
      <w:r w:rsidRPr="009B498D">
        <w:rPr>
          <w:rStyle w:val="FootnoteReference"/>
          <w:rFonts w:eastAsiaTheme="minorEastAsia"/>
        </w:rPr>
        <w:footnoteReference w:id="37"/>
      </w:r>
      <w:r>
        <w:rPr>
          <w:color w:val="000000"/>
          <w:shd w:val="clear" w:color="auto" w:fill="FFFFFF"/>
        </w:rPr>
        <w:t xml:space="preserve"> </w:t>
      </w:r>
      <w:r w:rsidRPr="00BC12E5">
        <w:rPr>
          <w:color w:val="000000"/>
          <w:shd w:val="clear" w:color="auto" w:fill="FFFFFF"/>
        </w:rPr>
        <w:t xml:space="preserve">So the way and where the data is secured is important, especially in the digital space. </w:t>
      </w:r>
      <w:r>
        <w:rPr>
          <w:color w:val="000000"/>
          <w:shd w:val="clear" w:color="auto" w:fill="FFFFFF"/>
        </w:rPr>
        <w:t>It</w:t>
      </w:r>
      <w:r w:rsidRPr="00BC12E5">
        <w:rPr>
          <w:color w:val="000000"/>
          <w:shd w:val="clear" w:color="auto" w:fill="FFFFFF"/>
        </w:rPr>
        <w:t xml:space="preserve"> becomes risky, considering that the data can not only be accessed "offline" but can also be accessed "online".</w:t>
      </w:r>
      <w:r>
        <w:rPr>
          <w:color w:val="000000"/>
          <w:shd w:val="clear" w:color="auto" w:fill="FFFFFF"/>
        </w:rPr>
        <w:t xml:space="preserve"> </w:t>
      </w:r>
    </w:p>
    <w:p w14:paraId="5F16B599" w14:textId="77777777" w:rsidR="00EC504C" w:rsidRPr="00042FB8" w:rsidRDefault="00EC504C" w:rsidP="00EC504C">
      <w:pPr>
        <w:tabs>
          <w:tab w:val="left" w:pos="284"/>
        </w:tabs>
        <w:spacing w:before="120"/>
        <w:ind w:firstLine="567"/>
        <w:jc w:val="both"/>
        <w:rPr>
          <w:color w:val="000000" w:themeColor="text1"/>
        </w:rPr>
      </w:pPr>
      <w:r w:rsidRPr="00042FB8">
        <w:rPr>
          <w:color w:val="000000" w:themeColor="text1"/>
        </w:rPr>
        <w:t xml:space="preserve">No wonder, the concept of data protection that was originally using traditional methods has changed to an online-based method. Therefore, legal issues that arise related to these issues are how consumer data can be protected. It is to become more a complex problem related </w:t>
      </w:r>
      <w:r w:rsidRPr="00042FB8">
        <w:rPr>
          <w:color w:val="000000" w:themeColor="text1"/>
        </w:rPr>
        <w:t xml:space="preserve">to other legal issues, such as electronic evidence, jurisdiction, and law enforcement in cyberspace. </w:t>
      </w:r>
    </w:p>
    <w:p w14:paraId="0541A340" w14:textId="77777777" w:rsidR="00EC504C" w:rsidRDefault="00EC504C" w:rsidP="00EC504C">
      <w:pPr>
        <w:tabs>
          <w:tab w:val="left" w:pos="284"/>
        </w:tabs>
        <w:spacing w:before="120"/>
        <w:ind w:firstLine="567"/>
        <w:jc w:val="both"/>
        <w:rPr>
          <w:color w:val="000000"/>
        </w:rPr>
      </w:pPr>
      <w:r w:rsidRPr="00BC12E5">
        <w:rPr>
          <w:color w:val="000000"/>
          <w:shd w:val="clear" w:color="auto" w:fill="FFFFFF"/>
        </w:rPr>
        <w:t xml:space="preserve">In this case, the most important thing in eHealth activities is a security system that allows patient data to be protected from illegal access by </w:t>
      </w:r>
      <w:r w:rsidRPr="003364FD">
        <w:rPr>
          <w:color w:val="000000"/>
          <w:shd w:val="clear" w:color="auto" w:fill="FFFFFF"/>
        </w:rPr>
        <w:t>perpetrator</w:t>
      </w:r>
      <w:r w:rsidRPr="00BC12E5">
        <w:rPr>
          <w:color w:val="000000"/>
          <w:shd w:val="clear" w:color="auto" w:fill="FFFFFF"/>
        </w:rPr>
        <w:t xml:space="preserve">s. The rapid development of wearable devices and health apps has made </w:t>
      </w:r>
      <w:r>
        <w:rPr>
          <w:color w:val="000000"/>
          <w:shd w:val="clear" w:color="auto" w:fill="FFFFFF"/>
        </w:rPr>
        <w:t>policymakers</w:t>
      </w:r>
      <w:r w:rsidRPr="00BC12E5">
        <w:rPr>
          <w:color w:val="000000"/>
          <w:shd w:val="clear" w:color="auto" w:fill="FFFFFF"/>
        </w:rPr>
        <w:t xml:space="preserve"> realize that they have the potential to cause personal data leakage. Therefore, </w:t>
      </w:r>
      <w:r>
        <w:rPr>
          <w:color w:val="000000"/>
          <w:shd w:val="clear" w:color="auto" w:fill="FFFFFF"/>
        </w:rPr>
        <w:t>policymakers</w:t>
      </w:r>
      <w:r w:rsidRPr="00BC12E5">
        <w:rPr>
          <w:color w:val="000000"/>
          <w:shd w:val="clear" w:color="auto" w:fill="FFFFFF"/>
        </w:rPr>
        <w:t xml:space="preserve"> strive for eHealth service providers to follow the same rules and procedures as hospitals in the protection of personal data.</w:t>
      </w:r>
      <w:r w:rsidRPr="009B498D">
        <w:rPr>
          <w:rStyle w:val="FootnoteReference"/>
          <w:rFonts w:eastAsiaTheme="minorEastAsia"/>
        </w:rPr>
        <w:footnoteReference w:id="38"/>
      </w:r>
    </w:p>
    <w:p w14:paraId="42207A9C" w14:textId="77777777" w:rsidR="00EC504C" w:rsidRDefault="00EC504C" w:rsidP="00EC504C">
      <w:pPr>
        <w:tabs>
          <w:tab w:val="left" w:pos="284"/>
        </w:tabs>
        <w:spacing w:before="120"/>
        <w:ind w:firstLine="567"/>
        <w:jc w:val="both"/>
        <w:rPr>
          <w:color w:val="000000"/>
        </w:rPr>
      </w:pPr>
      <w:r w:rsidRPr="00D31C37">
        <w:rPr>
          <w:color w:val="000000"/>
        </w:rPr>
        <w:t>In 1999, Kevin Ashton, founder of the Auto-ID Centr</w:t>
      </w:r>
      <w:r>
        <w:rPr>
          <w:color w:val="000000"/>
        </w:rPr>
        <w:t>e,</w:t>
      </w:r>
      <w:r w:rsidRPr="00D31C37">
        <w:rPr>
          <w:color w:val="000000"/>
        </w:rPr>
        <w:t xml:space="preserve"> Massachusetts Institutes of Technology (MIT) introduced the term Internet of Things (IoT). The concept of IoT here is closely related to the concept of </w:t>
      </w:r>
      <w:r>
        <w:rPr>
          <w:color w:val="000000"/>
        </w:rPr>
        <w:t xml:space="preserve">the </w:t>
      </w:r>
      <w:r w:rsidRPr="00D31C37">
        <w:rPr>
          <w:color w:val="000000"/>
        </w:rPr>
        <w:t xml:space="preserve">cloud of </w:t>
      </w:r>
      <w:r>
        <w:rPr>
          <w:color w:val="000000"/>
        </w:rPr>
        <w:t>things</w:t>
      </w:r>
      <w:r w:rsidRPr="00D31C37">
        <w:rPr>
          <w:color w:val="000000"/>
        </w:rPr>
        <w:t>, which is related to data storage capacity. Cloud is a new metaphor to describe the increasingly sophisticated process of collecting, structuring, storing</w:t>
      </w:r>
      <w:r>
        <w:rPr>
          <w:color w:val="000000"/>
        </w:rPr>
        <w:t>,</w:t>
      </w:r>
      <w:r w:rsidRPr="00D31C37">
        <w:rPr>
          <w:color w:val="000000"/>
        </w:rPr>
        <w:t xml:space="preserve"> and processing data resulting from computer technology engineering. The connection with "personal data" is that the digital company "lent" a giant server to be used collectively so that users of digital applications are no longer bothered to store data and information on disks or private servers.</w:t>
      </w:r>
      <w:r w:rsidRPr="009B498D">
        <w:rPr>
          <w:rStyle w:val="FootnoteReference"/>
          <w:rFonts w:eastAsiaTheme="minorEastAsia"/>
        </w:rPr>
        <w:footnoteReference w:id="39"/>
      </w:r>
    </w:p>
    <w:p w14:paraId="730C7A86" w14:textId="77777777" w:rsidR="00EC504C" w:rsidRDefault="00EC504C" w:rsidP="00EC504C">
      <w:pPr>
        <w:tabs>
          <w:tab w:val="left" w:pos="284"/>
        </w:tabs>
        <w:spacing w:before="120"/>
        <w:ind w:firstLine="567"/>
        <w:jc w:val="both"/>
        <w:rPr>
          <w:color w:val="222222"/>
          <w:shd w:val="clear" w:color="auto" w:fill="FFFFFF"/>
        </w:rPr>
      </w:pPr>
      <w:r w:rsidRPr="005A5532">
        <w:rPr>
          <w:color w:val="000000"/>
        </w:rPr>
        <w:t>The problem is related to data storage, is the service provider able to provide security guarantees related to the "personal data" from theft and unauthorized use?</w:t>
      </w:r>
      <w:r>
        <w:rPr>
          <w:color w:val="000000"/>
        </w:rPr>
        <w:t xml:space="preserve"> </w:t>
      </w:r>
      <w:r w:rsidRPr="005A5532">
        <w:rPr>
          <w:color w:val="000000"/>
        </w:rPr>
        <w:t>This is because a study conducted by</w:t>
      </w:r>
      <w:r w:rsidRPr="000D5651">
        <w:rPr>
          <w:color w:val="000000"/>
        </w:rPr>
        <w:t xml:space="preserve"> Kaspersky </w:t>
      </w:r>
      <w:r w:rsidRPr="009733D5">
        <w:rPr>
          <w:color w:val="000000" w:themeColor="text1"/>
        </w:rPr>
        <w:t xml:space="preserve">Lab in 2016 for 26 countries around the world mentioned that </w:t>
      </w:r>
      <w:r>
        <w:rPr>
          <w:color w:val="000000" w:themeColor="text1"/>
        </w:rPr>
        <w:t xml:space="preserve">the number of </w:t>
      </w:r>
      <w:r w:rsidRPr="009733D5">
        <w:rPr>
          <w:color w:val="000000" w:themeColor="text1"/>
        </w:rPr>
        <w:t>victims of online scams of fraud in Indonesia reached 26%.</w:t>
      </w:r>
      <w:r w:rsidRPr="009B498D">
        <w:rPr>
          <w:rStyle w:val="FootnoteReference"/>
          <w:rFonts w:eastAsiaTheme="minorEastAsia"/>
        </w:rPr>
        <w:footnoteReference w:id="40"/>
      </w:r>
      <w:r w:rsidRPr="009733D5">
        <w:rPr>
          <w:color w:val="000000" w:themeColor="text1"/>
        </w:rPr>
        <w:t xml:space="preserve"> </w:t>
      </w:r>
      <w:r w:rsidRPr="000D5651">
        <w:rPr>
          <w:color w:val="000000"/>
        </w:rPr>
        <w:t xml:space="preserve">In this case, Kaspersky Lab further notes that one in five Internet users </w:t>
      </w:r>
      <w:r>
        <w:rPr>
          <w:color w:val="000000"/>
        </w:rPr>
        <w:t>has</w:t>
      </w:r>
      <w:r w:rsidRPr="000D5651">
        <w:rPr>
          <w:color w:val="000000"/>
        </w:rPr>
        <w:t xml:space="preserve"> lost more than USD $ 1,000 due to online scams, an impressive figure that makes it attractive for </w:t>
      </w:r>
      <w:r w:rsidRPr="000C5035">
        <w:rPr>
          <w:color w:val="000000" w:themeColor="text1"/>
        </w:rPr>
        <w:t xml:space="preserve">criminals to engage in these </w:t>
      </w:r>
      <w:r>
        <w:rPr>
          <w:color w:val="000000" w:themeColor="text1"/>
        </w:rPr>
        <w:t>sorts</w:t>
      </w:r>
      <w:r w:rsidRPr="000C5035">
        <w:rPr>
          <w:color w:val="000000" w:themeColor="text1"/>
        </w:rPr>
        <w:t xml:space="preserve"> of crimes</w:t>
      </w:r>
      <w:r w:rsidRPr="000C5035">
        <w:rPr>
          <w:color w:val="000000" w:themeColor="text1"/>
          <w:shd w:val="clear" w:color="auto" w:fill="FFFFFF"/>
        </w:rPr>
        <w:t>.</w:t>
      </w:r>
      <w:r w:rsidRPr="009B498D">
        <w:rPr>
          <w:rStyle w:val="FootnoteReference"/>
          <w:rFonts w:eastAsiaTheme="minorEastAsia"/>
        </w:rPr>
        <w:footnoteReference w:id="41"/>
      </w:r>
      <w:r w:rsidRPr="000C5035">
        <w:rPr>
          <w:color w:val="000000" w:themeColor="text1"/>
          <w:shd w:val="clear" w:color="auto" w:fill="FFFFFF"/>
        </w:rPr>
        <w:t xml:space="preserve"> </w:t>
      </w:r>
      <w:r w:rsidRPr="000D5651">
        <w:rPr>
          <w:color w:val="222222"/>
          <w:shd w:val="clear" w:color="auto" w:fill="FFFFFF"/>
        </w:rPr>
        <w:t>This case shows the importance of providing data protection to consumers.</w:t>
      </w:r>
    </w:p>
    <w:p w14:paraId="40C56E4D" w14:textId="77777777" w:rsidR="00EC504C" w:rsidRPr="00042FB8" w:rsidRDefault="00EC504C" w:rsidP="00EC504C">
      <w:pPr>
        <w:tabs>
          <w:tab w:val="left" w:pos="284"/>
        </w:tabs>
        <w:spacing w:before="120"/>
        <w:ind w:firstLine="567"/>
        <w:jc w:val="both"/>
        <w:rPr>
          <w:color w:val="000000" w:themeColor="text1"/>
        </w:rPr>
      </w:pPr>
      <w:r w:rsidRPr="00042FB8">
        <w:rPr>
          <w:color w:val="000000"/>
        </w:rPr>
        <w:t xml:space="preserve">On the criminal side, the modus operandi of cybercrime is that the crime can be committed in various places and even various countries. It makes </w:t>
      </w:r>
      <w:r>
        <w:rPr>
          <w:color w:val="000000"/>
        </w:rPr>
        <w:t xml:space="preserve">it </w:t>
      </w:r>
      <w:r w:rsidRPr="00042FB8">
        <w:rPr>
          <w:color w:val="000000"/>
        </w:rPr>
        <w:t xml:space="preserve">difficult for legal enforcement to arrest perpetrators. Therefore, a very important thing is how to provide protection not only in legal </w:t>
      </w:r>
      <w:r>
        <w:rPr>
          <w:color w:val="000000"/>
        </w:rPr>
        <w:t>aspects</w:t>
      </w:r>
      <w:r w:rsidRPr="00042FB8">
        <w:rPr>
          <w:color w:val="000000"/>
        </w:rPr>
        <w:t xml:space="preserve"> but also in technical aspects to consumers so that not many consumers are to become victims. For this reason, the role of government, </w:t>
      </w:r>
      <w:r>
        <w:rPr>
          <w:color w:val="000000"/>
        </w:rPr>
        <w:t>providers,</w:t>
      </w:r>
      <w:r w:rsidRPr="00042FB8">
        <w:rPr>
          <w:color w:val="000000"/>
        </w:rPr>
        <w:t xml:space="preserve"> and </w:t>
      </w:r>
      <w:r>
        <w:rPr>
          <w:color w:val="000000"/>
        </w:rPr>
        <w:t>consumers’</w:t>
      </w:r>
      <w:r w:rsidRPr="00042FB8">
        <w:rPr>
          <w:color w:val="000000"/>
        </w:rPr>
        <w:t xml:space="preserve"> </w:t>
      </w:r>
      <w:r>
        <w:rPr>
          <w:color w:val="000000"/>
        </w:rPr>
        <w:t>behavior</w:t>
      </w:r>
      <w:r w:rsidRPr="00042FB8">
        <w:rPr>
          <w:color w:val="000000"/>
        </w:rPr>
        <w:t xml:space="preserve"> has an important role to assist in a </w:t>
      </w:r>
      <w:r>
        <w:rPr>
          <w:color w:val="000000"/>
        </w:rPr>
        <w:t>prevention</w:t>
      </w:r>
      <w:r w:rsidRPr="00042FB8">
        <w:rPr>
          <w:color w:val="000000"/>
        </w:rPr>
        <w:t xml:space="preserve"> effort.</w:t>
      </w:r>
      <w:r>
        <w:rPr>
          <w:color w:val="000000"/>
        </w:rPr>
        <w:t xml:space="preserve"> </w:t>
      </w:r>
    </w:p>
    <w:p w14:paraId="7125511E" w14:textId="77777777" w:rsidR="00EC504C" w:rsidRDefault="00EC504C" w:rsidP="00EC504C">
      <w:pPr>
        <w:tabs>
          <w:tab w:val="left" w:pos="284"/>
        </w:tabs>
        <w:spacing w:before="120"/>
        <w:ind w:firstLine="567"/>
        <w:jc w:val="both"/>
        <w:rPr>
          <w:color w:val="222222"/>
          <w:shd w:val="clear" w:color="auto" w:fill="FFFFFF"/>
        </w:rPr>
      </w:pPr>
      <w:r w:rsidRPr="00412C3D">
        <w:rPr>
          <w:color w:val="222222"/>
          <w:shd w:val="clear" w:color="auto" w:fill="FFFFFF"/>
        </w:rPr>
        <w:lastRenderedPageBreak/>
        <w:t xml:space="preserve">In 2018, The EU General Data Protection Regulation (GDPR) replaces the Data Protection Directive 95/46/EC was enforced. </w:t>
      </w:r>
      <w:r w:rsidRPr="00931A33">
        <w:rPr>
          <w:color w:val="222222"/>
          <w:shd w:val="clear" w:color="auto" w:fill="FFFFFF"/>
        </w:rPr>
        <w:t>The GDPR is the EU response to the proliferation of processing,</w:t>
      </w:r>
      <w:r>
        <w:rPr>
          <w:color w:val="222222"/>
          <w:shd w:val="clear" w:color="auto" w:fill="FFFFFF"/>
        </w:rPr>
        <w:t xml:space="preserve"> </w:t>
      </w:r>
      <w:r w:rsidRPr="00931A33">
        <w:rPr>
          <w:color w:val="222222"/>
          <w:shd w:val="clear" w:color="auto" w:fill="FFFFFF"/>
        </w:rPr>
        <w:t>unlawful or otherwise, of data available from online or offline sources and obtained by conventional or unconventional means.</w:t>
      </w:r>
      <w:r w:rsidRPr="009B498D">
        <w:rPr>
          <w:rStyle w:val="FootnoteReference"/>
          <w:rFonts w:eastAsiaTheme="minorEastAsia"/>
        </w:rPr>
        <w:footnoteReference w:id="42"/>
      </w:r>
      <w:r>
        <w:rPr>
          <w:color w:val="222222"/>
          <w:shd w:val="clear" w:color="auto" w:fill="FFFFFF"/>
        </w:rPr>
        <w:t xml:space="preserve"> </w:t>
      </w:r>
      <w:r w:rsidRPr="00412C3D">
        <w:rPr>
          <w:color w:val="222222"/>
          <w:shd w:val="clear" w:color="auto" w:fill="FFFFFF"/>
        </w:rPr>
        <w:t xml:space="preserve">It </w:t>
      </w:r>
      <w:r>
        <w:rPr>
          <w:color w:val="222222"/>
          <w:shd w:val="clear" w:color="auto" w:fill="FFFFFF"/>
        </w:rPr>
        <w:t xml:space="preserve">is </w:t>
      </w:r>
      <w:r w:rsidRPr="00412C3D">
        <w:rPr>
          <w:color w:val="222222"/>
          <w:shd w:val="clear" w:color="auto" w:fill="FFFFFF"/>
        </w:rPr>
        <w:t>designed to: Harmonize data privacy laws across Europe, Protect and empower all EU citizens’ data privacy, and Reshape the way organizations across the region approach data privacy.</w:t>
      </w:r>
      <w:r w:rsidRPr="009B498D">
        <w:rPr>
          <w:rStyle w:val="FootnoteReference"/>
          <w:rFonts w:eastAsiaTheme="minorEastAsia"/>
        </w:rPr>
        <w:footnoteReference w:id="43"/>
      </w:r>
      <w:r w:rsidRPr="00412C3D">
        <w:rPr>
          <w:color w:val="222222"/>
          <w:shd w:val="clear" w:color="auto" w:fill="FFFFFF"/>
        </w:rPr>
        <w:t xml:space="preserve"> </w:t>
      </w:r>
    </w:p>
    <w:p w14:paraId="3FA5E13D" w14:textId="77777777" w:rsidR="00EC504C" w:rsidRDefault="00EC504C" w:rsidP="00EC504C">
      <w:pPr>
        <w:tabs>
          <w:tab w:val="left" w:pos="284"/>
        </w:tabs>
        <w:spacing w:before="120"/>
        <w:ind w:firstLine="567"/>
        <w:jc w:val="both"/>
        <w:rPr>
          <w:color w:val="000000" w:themeColor="text1"/>
        </w:rPr>
      </w:pPr>
      <w:r w:rsidRPr="00D30707">
        <w:rPr>
          <w:color w:val="222222"/>
          <w:shd w:val="clear" w:color="auto" w:fill="FFFFFF"/>
        </w:rPr>
        <w:t xml:space="preserve">Here, Europe is </w:t>
      </w:r>
      <w:r>
        <w:rPr>
          <w:color w:val="222222"/>
          <w:shd w:val="clear" w:color="auto" w:fill="FFFFFF"/>
        </w:rPr>
        <w:t>signaling</w:t>
      </w:r>
      <w:r w:rsidRPr="00D30707">
        <w:rPr>
          <w:color w:val="222222"/>
          <w:shd w:val="clear" w:color="auto" w:fill="FFFFFF"/>
        </w:rPr>
        <w:t xml:space="preserve"> its firm stance on data privacy and security at a time when more people are entrusting their personal data with cloud services and breaches are a daily occurrence.</w:t>
      </w:r>
      <w:r w:rsidRPr="009B498D">
        <w:rPr>
          <w:rStyle w:val="FootnoteReference"/>
          <w:rFonts w:eastAsiaTheme="minorEastAsia"/>
        </w:rPr>
        <w:footnoteReference w:id="44"/>
      </w:r>
      <w:r>
        <w:rPr>
          <w:color w:val="222222"/>
          <w:shd w:val="clear" w:color="auto" w:fill="FFFFFF"/>
        </w:rPr>
        <w:t xml:space="preserve"> </w:t>
      </w:r>
      <w:r w:rsidRPr="00412C3D">
        <w:rPr>
          <w:color w:val="222222"/>
          <w:shd w:val="clear" w:color="auto" w:fill="FFFFFF"/>
        </w:rPr>
        <w:t xml:space="preserve">The impact, </w:t>
      </w:r>
      <w:r>
        <w:rPr>
          <w:color w:val="222222"/>
          <w:shd w:val="clear" w:color="auto" w:fill="FFFFFF"/>
        </w:rPr>
        <w:t>organizations</w:t>
      </w:r>
      <w:r w:rsidRPr="00412C3D">
        <w:rPr>
          <w:color w:val="222222"/>
          <w:shd w:val="clear" w:color="auto" w:fill="FFFFFF"/>
        </w:rPr>
        <w:t xml:space="preserve"> that are not compliant could now face heavy fines.</w:t>
      </w:r>
      <w:r w:rsidRPr="009B498D">
        <w:rPr>
          <w:rStyle w:val="FootnoteReference"/>
          <w:rFonts w:eastAsiaTheme="minorEastAsia"/>
        </w:rPr>
        <w:footnoteReference w:id="45"/>
      </w:r>
      <w:r>
        <w:rPr>
          <w:color w:val="222222"/>
          <w:shd w:val="clear" w:color="auto" w:fill="FFFFFF"/>
        </w:rPr>
        <w:t xml:space="preserve"> </w:t>
      </w:r>
      <w:r>
        <w:rPr>
          <w:color w:val="000000"/>
        </w:rPr>
        <w:t xml:space="preserve">Therefore, </w:t>
      </w:r>
      <w:r>
        <w:rPr>
          <w:color w:val="000000" w:themeColor="text1"/>
          <w:shd w:val="clear" w:color="auto" w:fill="FFFFFF"/>
        </w:rPr>
        <w:t>t</w:t>
      </w:r>
      <w:r w:rsidRPr="00412C3D">
        <w:rPr>
          <w:color w:val="000000" w:themeColor="text1"/>
          <w:shd w:val="clear" w:color="auto" w:fill="FFFFFF"/>
        </w:rPr>
        <w:t xml:space="preserve">he European Union (EU) participated in revising this regulation. </w:t>
      </w:r>
      <w:r w:rsidRPr="00412C3D">
        <w:rPr>
          <w:color w:val="000000" w:themeColor="text1"/>
        </w:rPr>
        <w:t>Maastricht Treaty amendments, Art.3</w:t>
      </w:r>
      <w:r>
        <w:rPr>
          <w:color w:val="000000" w:themeColor="text1"/>
        </w:rPr>
        <w:t xml:space="preserve"> </w:t>
      </w:r>
      <w:r w:rsidRPr="00412C3D">
        <w:rPr>
          <w:color w:val="000000" w:themeColor="text1"/>
        </w:rPr>
        <w:t xml:space="preserve">(s) </w:t>
      </w:r>
      <w:r>
        <w:rPr>
          <w:color w:val="000000" w:themeColor="text1"/>
        </w:rPr>
        <w:t>specify</w:t>
      </w:r>
      <w:r w:rsidRPr="00412C3D">
        <w:rPr>
          <w:color w:val="000000" w:themeColor="text1"/>
        </w:rPr>
        <w:t xml:space="preserve"> “a contribution to the strengthening of consumer protection” as one of the key activities of the community. The subject of consumer protection is also very much alive in the European Union</w:t>
      </w:r>
      <w:r w:rsidRPr="009B498D">
        <w:rPr>
          <w:rStyle w:val="FootnoteReference"/>
          <w:rFonts w:eastAsiaTheme="minorEastAsia"/>
        </w:rPr>
        <w:footnoteReference w:id="46"/>
      </w:r>
      <w:r w:rsidRPr="00412C3D">
        <w:rPr>
          <w:color w:val="000000" w:themeColor="text1"/>
        </w:rPr>
        <w:t xml:space="preserve">.  </w:t>
      </w:r>
      <w:r w:rsidRPr="00CB48CB">
        <w:rPr>
          <w:color w:val="000000" w:themeColor="text1"/>
        </w:rPr>
        <w:t xml:space="preserve"> </w:t>
      </w:r>
    </w:p>
    <w:p w14:paraId="59BEA605" w14:textId="77777777" w:rsidR="00EC504C" w:rsidRPr="0016737C" w:rsidRDefault="00EC504C" w:rsidP="00EC504C">
      <w:pPr>
        <w:tabs>
          <w:tab w:val="left" w:pos="284"/>
        </w:tabs>
        <w:spacing w:before="120"/>
        <w:ind w:firstLine="567"/>
        <w:jc w:val="both"/>
        <w:rPr>
          <w:color w:val="000000" w:themeColor="text1"/>
        </w:rPr>
      </w:pPr>
      <w:r w:rsidRPr="0016737C">
        <w:rPr>
          <w:color w:val="000000" w:themeColor="text1"/>
        </w:rPr>
        <w:t xml:space="preserve">In Indonesia, the principle of protecting personal data in cyberspace is generally contained in Article 26 of the Law No. 19 of 2016 on Electronic Information and Transactions (ITE Law) which reads "unless otherwise stipulated by the laws and regulations, the use of any information through electronic media concerning a person's personal data must be carried out with the consent of the person concerned”. </w:t>
      </w:r>
    </w:p>
    <w:p w14:paraId="01F3E4E3" w14:textId="0DDE5C2A" w:rsidR="00EC504C" w:rsidRPr="0016737C" w:rsidRDefault="00EC504C" w:rsidP="00EC504C">
      <w:pPr>
        <w:tabs>
          <w:tab w:val="left" w:pos="284"/>
        </w:tabs>
        <w:spacing w:before="120"/>
        <w:ind w:firstLine="567"/>
        <w:jc w:val="both"/>
        <w:rPr>
          <w:color w:val="000000" w:themeColor="text1"/>
        </w:rPr>
      </w:pPr>
      <w:r w:rsidRPr="0016737C">
        <w:rPr>
          <w:color w:val="000000" w:themeColor="text1"/>
        </w:rPr>
        <w:t>PDP law 2022, more specifically regulates data protection. Article 5 states that the Subject of Personal Data is entitled to obtain Information regarding the clarity of identity, the basis of legal interest, the purpose of requesting and using Personal Data, and the accountability of the party requesting Personal Data. Furthermore, in Article 6 the Subject of Personal Data has the right to complete, update, and/or correct errors and/or inaccuracies of Personal Data about him/her in accordance with the purpose of processing the Personal Data. This is confirmed by Article 14, Government Regulation No. 71 of 2019 on the Operation of Electronic Systems and Transactions, (PP PSTE) which states that Electronic System Operators are required to implement the principles of protecting Personal Data.</w:t>
      </w:r>
    </w:p>
    <w:p w14:paraId="04A08E7E" w14:textId="77777777" w:rsidR="00EC504C" w:rsidRPr="0016737C" w:rsidRDefault="00EC504C" w:rsidP="00EC504C">
      <w:pPr>
        <w:tabs>
          <w:tab w:val="left" w:pos="284"/>
        </w:tabs>
        <w:spacing w:before="120"/>
        <w:ind w:firstLine="567"/>
        <w:jc w:val="both"/>
        <w:rPr>
          <w:color w:val="000000" w:themeColor="text1"/>
        </w:rPr>
      </w:pPr>
      <w:r w:rsidRPr="0016737C">
        <w:rPr>
          <w:color w:val="000000" w:themeColor="text1"/>
        </w:rPr>
        <w:t xml:space="preserve">Furthermore, article 26 </w:t>
      </w:r>
      <w:r w:rsidRPr="0016737C">
        <w:rPr>
          <w:color w:val="000000" w:themeColor="text1"/>
          <w:shd w:val="clear" w:color="auto" w:fill="FFFFFF"/>
        </w:rPr>
        <w:t>Government Regulation No. 80 of 2019 on Trading Through Electronic Systems. (PP PMSE)</w:t>
      </w:r>
      <w:r w:rsidRPr="0016737C">
        <w:rPr>
          <w:color w:val="000000" w:themeColor="text1"/>
        </w:rPr>
        <w:t xml:space="preserve">, generally requires Business actors to protect the rights of Consumers in accordance with the provisions of laws and regulations in the field of Consumer protection. </w:t>
      </w:r>
      <w:r w:rsidRPr="0016737C">
        <w:rPr>
          <w:color w:val="000000" w:themeColor="text1"/>
        </w:rPr>
        <w:t>This includes data and information protection refer to article 25 PP PMSE concerning the protection of data and information that must be stored by business actors related to financial transactions, such as customer data and information, Electronic confirmations, and payment confirmations has a period of 10 years, while those not related to finance have a storage period of 5 years. year.</w:t>
      </w:r>
    </w:p>
    <w:p w14:paraId="1E8729D5" w14:textId="77777777" w:rsidR="00EC504C" w:rsidRPr="0016737C" w:rsidRDefault="00EC504C" w:rsidP="00EC504C">
      <w:pPr>
        <w:tabs>
          <w:tab w:val="left" w:pos="284"/>
        </w:tabs>
        <w:spacing w:before="120"/>
        <w:ind w:firstLine="567"/>
        <w:jc w:val="both"/>
        <w:rPr>
          <w:color w:val="000000" w:themeColor="text1"/>
        </w:rPr>
      </w:pPr>
      <w:r w:rsidRPr="0016737C">
        <w:rPr>
          <w:color w:val="000000" w:themeColor="text1"/>
        </w:rPr>
        <w:t>In Indonesia, specifically, the principle of data protection is also regulated in Article 2, Regulation of the Minister of Communication and Informatics No. 20 of 2016 on the Protection of Personal Data in Electronic Systems (</w:t>
      </w:r>
      <w:proofErr w:type="spellStart"/>
      <w:r w:rsidRPr="0016737C">
        <w:rPr>
          <w:color w:val="000000" w:themeColor="text1"/>
        </w:rPr>
        <w:t>Permen</w:t>
      </w:r>
      <w:proofErr w:type="spellEnd"/>
      <w:r w:rsidRPr="0016737C">
        <w:rPr>
          <w:color w:val="000000" w:themeColor="text1"/>
        </w:rPr>
        <w:t xml:space="preserve"> Data Protection). Protection of Personal Data in Electronic Systems includes protection against the acquisition, collection, processing, analysis, storage, display, announcement, transmission, dissemination, and destruction of Personal Data.</w:t>
      </w:r>
    </w:p>
    <w:p w14:paraId="425C815F" w14:textId="77777777" w:rsidR="00EC504C" w:rsidRPr="0011356E" w:rsidRDefault="00EC504C" w:rsidP="00EC504C">
      <w:pPr>
        <w:pStyle w:val="ListParagraph"/>
        <w:numPr>
          <w:ilvl w:val="0"/>
          <w:numId w:val="16"/>
        </w:numPr>
        <w:tabs>
          <w:tab w:val="left" w:pos="284"/>
        </w:tabs>
        <w:spacing w:before="120"/>
        <w:ind w:hanging="720"/>
        <w:jc w:val="both"/>
        <w:rPr>
          <w:b/>
          <w:color w:val="000000" w:themeColor="text1"/>
        </w:rPr>
      </w:pPr>
      <w:r w:rsidRPr="0011356E">
        <w:rPr>
          <w:b/>
          <w:color w:val="000000" w:themeColor="text1"/>
        </w:rPr>
        <w:t>Key Principles in Data Protection</w:t>
      </w:r>
    </w:p>
    <w:p w14:paraId="71DC0285" w14:textId="77777777" w:rsidR="00EC504C" w:rsidRPr="00F023B7" w:rsidRDefault="00EC504C" w:rsidP="00EC504C">
      <w:pPr>
        <w:tabs>
          <w:tab w:val="left" w:pos="284"/>
        </w:tabs>
        <w:spacing w:before="120"/>
        <w:ind w:firstLine="426"/>
        <w:jc w:val="both"/>
        <w:rPr>
          <w:color w:val="000000" w:themeColor="text1"/>
        </w:rPr>
      </w:pPr>
      <w:r w:rsidRPr="00F023B7">
        <w:rPr>
          <w:color w:val="000000" w:themeColor="text1"/>
        </w:rPr>
        <w:t>In Key GDPR principles, t</w:t>
      </w:r>
      <w:r w:rsidRPr="00CB48CB">
        <w:rPr>
          <w:color w:val="000000" w:themeColor="text1"/>
        </w:rPr>
        <w:t>he GDPR recommendations can be summarized into three general points</w:t>
      </w:r>
      <w:r w:rsidRPr="000C1BDF">
        <w:t>: Firstly, collect personal data with a clearly defined purpose and don’t use it for something else, secondly, don’t collect more data than you need, and thirdly, delete data that is no longer used.</w:t>
      </w:r>
      <w:r w:rsidRPr="000C1BDF">
        <w:rPr>
          <w:rStyle w:val="FootnoteReference"/>
          <w:rFonts w:eastAsiaTheme="minorEastAsia"/>
        </w:rPr>
        <w:footnoteReference w:id="47"/>
      </w:r>
      <w:r w:rsidRPr="000C1BDF">
        <w:t xml:space="preserve">  Furthermore, GDPR has six principles</w:t>
      </w:r>
      <w:r w:rsidRPr="000C1BDF">
        <w:rPr>
          <w:rStyle w:val="FootnoteReference"/>
          <w:rFonts w:eastAsiaTheme="minorEastAsia"/>
        </w:rPr>
        <w:footnoteReference w:id="48"/>
      </w:r>
      <w:r w:rsidRPr="000C1BDF">
        <w:t xml:space="preserve"> for which Perso</w:t>
      </w:r>
      <w:r w:rsidRPr="00F023B7">
        <w:rPr>
          <w:color w:val="000000" w:themeColor="text1"/>
        </w:rPr>
        <w:t>nal data shall be handled</w:t>
      </w:r>
      <w:r>
        <w:rPr>
          <w:color w:val="000000" w:themeColor="text1"/>
        </w:rPr>
        <w:t xml:space="preserve"> (Figure 1)</w:t>
      </w:r>
      <w:r w:rsidRPr="00F023B7">
        <w:rPr>
          <w:color w:val="000000" w:themeColor="text1"/>
        </w:rPr>
        <w:t xml:space="preserve">. </w:t>
      </w:r>
    </w:p>
    <w:p w14:paraId="2059AB25" w14:textId="754D71D8" w:rsidR="00EC504C" w:rsidRPr="00CB48CB" w:rsidRDefault="004A6F2A" w:rsidP="00EC504C">
      <w:pPr>
        <w:tabs>
          <w:tab w:val="left" w:pos="284"/>
        </w:tabs>
        <w:spacing w:before="120"/>
        <w:jc w:val="both"/>
        <w:rPr>
          <w:color w:val="0070C0"/>
        </w:rPr>
      </w:pPr>
      <w:r w:rsidRPr="00EC64B6">
        <w:rPr>
          <w:noProof/>
          <w:color w:val="000000" w:themeColor="text1"/>
        </w:rPr>
        <w:drawing>
          <wp:anchor distT="0" distB="0" distL="114300" distR="114300" simplePos="0" relativeHeight="251659264" behindDoc="1" locked="0" layoutInCell="1" allowOverlap="1" wp14:anchorId="661DA446" wp14:editId="5B44CC37">
            <wp:simplePos x="0" y="0"/>
            <wp:positionH relativeFrom="column">
              <wp:align>left</wp:align>
            </wp:positionH>
            <wp:positionV relativeFrom="paragraph">
              <wp:posOffset>85725</wp:posOffset>
            </wp:positionV>
            <wp:extent cx="2059940" cy="2046605"/>
            <wp:effectExtent l="0" t="0" r="0" b="0"/>
            <wp:wrapTight wrapText="bothSides">
              <wp:wrapPolygon edited="0">
                <wp:start x="0" y="0"/>
                <wp:lineTo x="0" y="21312"/>
                <wp:lineTo x="21374" y="21312"/>
                <wp:lineTo x="2137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9940" cy="2046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07639D" w14:textId="5938DB99" w:rsidR="00EC504C" w:rsidRDefault="00EC504C" w:rsidP="00EC504C">
      <w:pPr>
        <w:tabs>
          <w:tab w:val="left" w:pos="284"/>
        </w:tabs>
        <w:spacing w:before="120"/>
        <w:jc w:val="both"/>
        <w:rPr>
          <w:color w:val="000000" w:themeColor="text1"/>
        </w:rPr>
      </w:pPr>
    </w:p>
    <w:p w14:paraId="55854837" w14:textId="562728E6" w:rsidR="00EC504C" w:rsidRDefault="00EC504C" w:rsidP="00EC504C">
      <w:pPr>
        <w:tabs>
          <w:tab w:val="left" w:pos="284"/>
        </w:tabs>
        <w:spacing w:before="120"/>
        <w:jc w:val="both"/>
        <w:rPr>
          <w:color w:val="000000" w:themeColor="text1"/>
        </w:rPr>
      </w:pPr>
    </w:p>
    <w:p w14:paraId="75303913" w14:textId="103FC3C8" w:rsidR="00EC504C" w:rsidRDefault="00EC504C" w:rsidP="00EC504C">
      <w:pPr>
        <w:tabs>
          <w:tab w:val="left" w:pos="284"/>
        </w:tabs>
        <w:spacing w:before="120"/>
        <w:jc w:val="both"/>
        <w:rPr>
          <w:color w:val="000000" w:themeColor="text1"/>
        </w:rPr>
      </w:pPr>
    </w:p>
    <w:p w14:paraId="560A7899" w14:textId="425A95BB" w:rsidR="00EC504C" w:rsidRDefault="00EC504C" w:rsidP="00EC504C">
      <w:pPr>
        <w:tabs>
          <w:tab w:val="left" w:pos="284"/>
        </w:tabs>
        <w:spacing w:before="120"/>
        <w:jc w:val="both"/>
        <w:rPr>
          <w:color w:val="000000" w:themeColor="text1"/>
        </w:rPr>
      </w:pPr>
    </w:p>
    <w:p w14:paraId="6AC17898" w14:textId="1CFA946A" w:rsidR="00EC504C" w:rsidRDefault="00EC504C" w:rsidP="00EC504C">
      <w:pPr>
        <w:tabs>
          <w:tab w:val="left" w:pos="284"/>
        </w:tabs>
        <w:spacing w:before="120"/>
        <w:jc w:val="both"/>
        <w:rPr>
          <w:color w:val="000000" w:themeColor="text1"/>
        </w:rPr>
      </w:pPr>
    </w:p>
    <w:p w14:paraId="1B3C5875" w14:textId="77777777" w:rsidR="00EC504C" w:rsidRDefault="00EC504C" w:rsidP="00EC504C">
      <w:pPr>
        <w:tabs>
          <w:tab w:val="left" w:pos="284"/>
        </w:tabs>
        <w:spacing w:before="120"/>
        <w:jc w:val="both"/>
        <w:rPr>
          <w:color w:val="000000" w:themeColor="text1"/>
        </w:rPr>
      </w:pPr>
    </w:p>
    <w:p w14:paraId="751A2FEE" w14:textId="77777777" w:rsidR="00EC504C" w:rsidRDefault="00EC504C" w:rsidP="00EC504C">
      <w:pPr>
        <w:tabs>
          <w:tab w:val="left" w:pos="284"/>
        </w:tabs>
        <w:spacing w:before="120"/>
        <w:jc w:val="both"/>
        <w:rPr>
          <w:color w:val="000000" w:themeColor="text1"/>
        </w:rPr>
      </w:pPr>
    </w:p>
    <w:p w14:paraId="08ADBCD8" w14:textId="77777777" w:rsidR="00EC504C" w:rsidRDefault="00EC504C" w:rsidP="00EC504C">
      <w:pPr>
        <w:tabs>
          <w:tab w:val="left" w:pos="284"/>
        </w:tabs>
        <w:spacing w:before="120"/>
        <w:jc w:val="both"/>
        <w:rPr>
          <w:color w:val="000000" w:themeColor="text1"/>
        </w:rPr>
      </w:pPr>
    </w:p>
    <w:p w14:paraId="0C3255DB" w14:textId="77777777" w:rsidR="00EC504C" w:rsidRDefault="00EC504C" w:rsidP="00EC504C">
      <w:pPr>
        <w:tabs>
          <w:tab w:val="left" w:pos="284"/>
        </w:tabs>
        <w:spacing w:before="120"/>
        <w:jc w:val="both"/>
        <w:rPr>
          <w:color w:val="000000" w:themeColor="text1"/>
        </w:rPr>
      </w:pPr>
    </w:p>
    <w:p w14:paraId="64954DB0" w14:textId="77777777" w:rsidR="00EC504C" w:rsidRPr="00FD73B8" w:rsidRDefault="00EC504C" w:rsidP="00EC504C">
      <w:pPr>
        <w:pStyle w:val="ListParagraph"/>
        <w:numPr>
          <w:ilvl w:val="0"/>
          <w:numId w:val="17"/>
        </w:numPr>
        <w:tabs>
          <w:tab w:val="left" w:pos="284"/>
        </w:tabs>
        <w:spacing w:before="120"/>
        <w:ind w:hanging="720"/>
        <w:jc w:val="both"/>
        <w:rPr>
          <w:b/>
          <w:color w:val="000000" w:themeColor="text1"/>
        </w:rPr>
      </w:pPr>
      <w:r w:rsidRPr="00FD73B8">
        <w:rPr>
          <w:b/>
          <w:color w:val="000000" w:themeColor="text1"/>
        </w:rPr>
        <w:t>Lawfulness</w:t>
      </w:r>
    </w:p>
    <w:p w14:paraId="4ED24B6E" w14:textId="77777777" w:rsidR="00EC504C" w:rsidRDefault="00EC504C" w:rsidP="00EC504C">
      <w:pPr>
        <w:tabs>
          <w:tab w:val="left" w:pos="284"/>
        </w:tabs>
        <w:spacing w:before="120"/>
        <w:ind w:firstLine="567"/>
        <w:jc w:val="both"/>
        <w:rPr>
          <w:color w:val="000000" w:themeColor="text1"/>
        </w:rPr>
      </w:pPr>
      <w:r w:rsidRPr="00BE3A9D">
        <w:rPr>
          <w:color w:val="000000" w:themeColor="text1"/>
        </w:rPr>
        <w:t xml:space="preserve">On the principle of Lawfulness, in order for data collection to be considered legal, service providers must understand the GDPR </w:t>
      </w:r>
      <w:r>
        <w:rPr>
          <w:color w:val="000000" w:themeColor="text1"/>
        </w:rPr>
        <w:t xml:space="preserve">principles </w:t>
      </w:r>
      <w:r w:rsidRPr="00BE3A9D">
        <w:rPr>
          <w:color w:val="000000" w:themeColor="text1"/>
        </w:rPr>
        <w:t xml:space="preserve">and its rules. To maintain the value of transparency for data subjects, service providers </w:t>
      </w:r>
      <w:r>
        <w:rPr>
          <w:color w:val="000000" w:themeColor="text1"/>
        </w:rPr>
        <w:t>should</w:t>
      </w:r>
      <w:r w:rsidRPr="00BE3A9D">
        <w:rPr>
          <w:color w:val="000000" w:themeColor="text1"/>
        </w:rPr>
        <w:t xml:space="preserve"> state in their privacy policies the types of data </w:t>
      </w:r>
      <w:r w:rsidRPr="00BE3A9D">
        <w:rPr>
          <w:color w:val="000000" w:themeColor="text1"/>
        </w:rPr>
        <w:lastRenderedPageBreak/>
        <w:t>collected and the reasons why they should be collected.</w:t>
      </w:r>
      <w:r>
        <w:rPr>
          <w:color w:val="000000" w:themeColor="text1"/>
        </w:rPr>
        <w:t xml:space="preserve"> </w:t>
      </w:r>
      <w:r w:rsidRPr="00F04F7B">
        <w:rPr>
          <w:color w:val="000000" w:themeColor="text1"/>
        </w:rPr>
        <w:t xml:space="preserve">This "lawfulness" principle has also been applied in article 27, PDP Law 2022, which regulates the obligation for personal data controllers to carry out </w:t>
      </w:r>
      <w:r>
        <w:rPr>
          <w:color w:val="000000" w:themeColor="text1"/>
        </w:rPr>
        <w:t xml:space="preserve">the </w:t>
      </w:r>
      <w:r w:rsidRPr="00F04F7B">
        <w:rPr>
          <w:color w:val="000000" w:themeColor="text1"/>
        </w:rPr>
        <w:t xml:space="preserve">processing of Personal Data in a limited and specific, legally valid, and transparent manner. </w:t>
      </w:r>
    </w:p>
    <w:p w14:paraId="74A49A6B" w14:textId="77777777" w:rsidR="00EC504C" w:rsidRPr="00FD73B8" w:rsidRDefault="00EC504C" w:rsidP="00EC504C">
      <w:pPr>
        <w:pStyle w:val="ListParagraph"/>
        <w:numPr>
          <w:ilvl w:val="0"/>
          <w:numId w:val="17"/>
        </w:numPr>
        <w:tabs>
          <w:tab w:val="left" w:pos="284"/>
        </w:tabs>
        <w:spacing w:before="120"/>
        <w:ind w:hanging="720"/>
        <w:jc w:val="both"/>
        <w:rPr>
          <w:b/>
          <w:color w:val="000000" w:themeColor="text1"/>
        </w:rPr>
      </w:pPr>
      <w:r w:rsidRPr="00FD73B8">
        <w:rPr>
          <w:b/>
          <w:color w:val="000000" w:themeColor="text1"/>
        </w:rPr>
        <w:t>Purpose Limitation</w:t>
      </w:r>
    </w:p>
    <w:p w14:paraId="69C4E471" w14:textId="77777777" w:rsidR="00EC504C" w:rsidRDefault="00EC504C" w:rsidP="00EC504C">
      <w:pPr>
        <w:tabs>
          <w:tab w:val="left" w:pos="284"/>
        </w:tabs>
        <w:spacing w:before="120"/>
        <w:ind w:firstLine="567"/>
        <w:jc w:val="both"/>
        <w:rPr>
          <w:color w:val="000000" w:themeColor="text1"/>
        </w:rPr>
      </w:pPr>
      <w:r w:rsidRPr="00E71D0D">
        <w:rPr>
          <w:color w:val="000000" w:themeColor="text1"/>
        </w:rPr>
        <w:t>Service providers or organizations may only collect personal data for certain purposes. It must also be stated clearly what the purpose of data collection is. Under the GDPR principle, data collection is only intended to accomplish certain purposes. Processing carried out for archival purposes for public or scientific purposes, or statistics is given more freedom by complying with the provisions of the protection principle.</w:t>
      </w:r>
      <w:r>
        <w:rPr>
          <w:color w:val="000000" w:themeColor="text1"/>
        </w:rPr>
        <w:t xml:space="preserve"> </w:t>
      </w:r>
      <w:r w:rsidRPr="008F6111">
        <w:rPr>
          <w:color w:val="000000" w:themeColor="text1"/>
        </w:rPr>
        <w:t>This principle has also been regulated in Article 28 of the PDP Law 2022 that the processing of Personal Data must be in accordance with the purpose of processing Personal Data.</w:t>
      </w:r>
    </w:p>
    <w:p w14:paraId="417CC0B5" w14:textId="77777777" w:rsidR="00EC504C" w:rsidRPr="00FD73B8" w:rsidRDefault="00EC504C" w:rsidP="00EC504C">
      <w:pPr>
        <w:pStyle w:val="ListParagraph"/>
        <w:numPr>
          <w:ilvl w:val="0"/>
          <w:numId w:val="17"/>
        </w:numPr>
        <w:tabs>
          <w:tab w:val="left" w:pos="284"/>
        </w:tabs>
        <w:spacing w:before="120"/>
        <w:ind w:hanging="720"/>
        <w:jc w:val="both"/>
        <w:rPr>
          <w:b/>
          <w:color w:val="000000" w:themeColor="text1"/>
        </w:rPr>
      </w:pPr>
      <w:r w:rsidRPr="00FD73B8">
        <w:rPr>
          <w:b/>
          <w:color w:val="000000" w:themeColor="text1"/>
        </w:rPr>
        <w:t xml:space="preserve">Data </w:t>
      </w:r>
      <w:proofErr w:type="spellStart"/>
      <w:r w:rsidRPr="00FD73B8">
        <w:rPr>
          <w:b/>
          <w:color w:val="000000" w:themeColor="text1"/>
        </w:rPr>
        <w:t>Minimisation</w:t>
      </w:r>
      <w:proofErr w:type="spellEnd"/>
    </w:p>
    <w:p w14:paraId="69F9AAAE" w14:textId="795B3D08" w:rsidR="00EC504C" w:rsidRDefault="00EC504C" w:rsidP="00EC504C">
      <w:pPr>
        <w:tabs>
          <w:tab w:val="left" w:pos="284"/>
        </w:tabs>
        <w:spacing w:before="120"/>
        <w:ind w:firstLine="567"/>
        <w:jc w:val="both"/>
        <w:rPr>
          <w:color w:val="000000" w:themeColor="text1"/>
        </w:rPr>
      </w:pPr>
      <w:r w:rsidRPr="005B61E6">
        <w:rPr>
          <w:color w:val="000000" w:themeColor="text1"/>
        </w:rPr>
        <w:t xml:space="preserve">Service providers or organizations may only process </w:t>
      </w:r>
      <w:r>
        <w:rPr>
          <w:color w:val="000000" w:themeColor="text1"/>
        </w:rPr>
        <w:t xml:space="preserve">the </w:t>
      </w:r>
      <w:r w:rsidRPr="005B61E6">
        <w:rPr>
          <w:color w:val="000000" w:themeColor="text1"/>
        </w:rPr>
        <w:t>personal data that they need to achieve their goals. This will benefit, in the event of a data breach, individuals not only have access to a limited amount of data. In addition, data minimization makes it easy to maintain data accuracy and up-to-date.</w:t>
      </w:r>
      <w:r>
        <w:rPr>
          <w:color w:val="000000" w:themeColor="text1"/>
        </w:rPr>
        <w:t xml:space="preserve"> Therefore, article 21, of the PDP Law 2022 that t</w:t>
      </w:r>
      <w:r w:rsidRPr="002D18A5">
        <w:rPr>
          <w:color w:val="000000" w:themeColor="text1"/>
        </w:rPr>
        <w:t xml:space="preserve">he Personal Data Controller is required to submit </w:t>
      </w:r>
      <w:r>
        <w:rPr>
          <w:color w:val="000000" w:themeColor="text1"/>
        </w:rPr>
        <w:t>information</w:t>
      </w:r>
      <w:r w:rsidRPr="002D18A5">
        <w:rPr>
          <w:color w:val="000000" w:themeColor="text1"/>
        </w:rPr>
        <w:t xml:space="preserve"> regarding</w:t>
      </w:r>
      <w:r>
        <w:rPr>
          <w:color w:val="000000" w:themeColor="text1"/>
        </w:rPr>
        <w:t xml:space="preserve"> the </w:t>
      </w:r>
      <w:r w:rsidRPr="002D18A5">
        <w:rPr>
          <w:color w:val="000000" w:themeColor="text1"/>
        </w:rPr>
        <w:t>legality of the processing</w:t>
      </w:r>
      <w:r>
        <w:rPr>
          <w:color w:val="000000" w:themeColor="text1"/>
        </w:rPr>
        <w:t xml:space="preserve">, </w:t>
      </w:r>
      <w:r w:rsidRPr="002D18A5">
        <w:rPr>
          <w:color w:val="000000" w:themeColor="text1"/>
        </w:rPr>
        <w:t>the purpose of processing</w:t>
      </w:r>
      <w:r>
        <w:rPr>
          <w:color w:val="000000" w:themeColor="text1"/>
        </w:rPr>
        <w:t xml:space="preserve">, and </w:t>
      </w:r>
      <w:r w:rsidRPr="002D18A5">
        <w:rPr>
          <w:color w:val="000000" w:themeColor="text1"/>
        </w:rPr>
        <w:t>the retention period of documents containing Personal Data</w:t>
      </w:r>
      <w:r>
        <w:rPr>
          <w:color w:val="000000" w:themeColor="text1"/>
        </w:rPr>
        <w:t>.</w:t>
      </w:r>
    </w:p>
    <w:p w14:paraId="2A15C7A1" w14:textId="77777777" w:rsidR="00EC504C" w:rsidRDefault="00EC504C" w:rsidP="00EC504C">
      <w:pPr>
        <w:tabs>
          <w:tab w:val="left" w:pos="284"/>
        </w:tabs>
        <w:spacing w:before="120"/>
        <w:jc w:val="both"/>
        <w:rPr>
          <w:color w:val="000000" w:themeColor="text1"/>
        </w:rPr>
      </w:pPr>
      <w:r>
        <w:rPr>
          <w:color w:val="000000" w:themeColor="text1"/>
        </w:rPr>
        <w:t xml:space="preserve">d. </w:t>
      </w:r>
      <w:r w:rsidRPr="00FD73B8">
        <w:rPr>
          <w:b/>
          <w:color w:val="000000" w:themeColor="text1"/>
        </w:rPr>
        <w:t>Accuracy</w:t>
      </w:r>
    </w:p>
    <w:p w14:paraId="20982CFA" w14:textId="77777777" w:rsidR="00EC504C" w:rsidRDefault="00EC504C" w:rsidP="00EC504C">
      <w:pPr>
        <w:tabs>
          <w:tab w:val="left" w:pos="284"/>
        </w:tabs>
        <w:spacing w:before="120"/>
        <w:ind w:firstLine="567"/>
        <w:jc w:val="both"/>
        <w:rPr>
          <w:color w:val="000000" w:themeColor="text1"/>
        </w:rPr>
      </w:pPr>
      <w:r w:rsidRPr="0006661D">
        <w:rPr>
          <w:color w:val="000000" w:themeColor="text1"/>
        </w:rPr>
        <w:t>The accuracy of personal data is integral to data protection. The GDPR states that “every reasonable step must be taken” to erase or rectify data that is inaccurate or incomplete.</w:t>
      </w:r>
      <w:r>
        <w:rPr>
          <w:color w:val="000000" w:themeColor="text1"/>
        </w:rPr>
        <w:t xml:space="preserve"> </w:t>
      </w:r>
      <w:r w:rsidRPr="0006661D">
        <w:rPr>
          <w:color w:val="000000" w:themeColor="text1"/>
        </w:rPr>
        <w:t>Individuals have the right to request that inaccurate or incomplete data be erased or rectified within 30 days.</w:t>
      </w:r>
      <w:r>
        <w:rPr>
          <w:color w:val="000000" w:themeColor="text1"/>
        </w:rPr>
        <w:t xml:space="preserve"> Here, a</w:t>
      </w:r>
      <w:r w:rsidRPr="001478A9">
        <w:rPr>
          <w:color w:val="000000" w:themeColor="text1"/>
        </w:rPr>
        <w:t>rticle 29 of the PDP Law 2022, stipulates that the Personal Data Controller is obliged to ensure the accuracy, completeness, and consistency of Personal Data in accordance with the provisions of laws and regulations. To ensure the accuracy, completeness, and consistency of Personal Data, the Personal Data Controller is required to verify.</w:t>
      </w:r>
    </w:p>
    <w:p w14:paraId="09024339" w14:textId="77777777" w:rsidR="00EC504C" w:rsidRPr="00FD73B8" w:rsidRDefault="00EC504C" w:rsidP="00EC504C">
      <w:pPr>
        <w:pStyle w:val="ListParagraph"/>
        <w:numPr>
          <w:ilvl w:val="0"/>
          <w:numId w:val="18"/>
        </w:numPr>
        <w:tabs>
          <w:tab w:val="left" w:pos="284"/>
        </w:tabs>
        <w:spacing w:before="120"/>
        <w:ind w:hanging="1080"/>
        <w:jc w:val="both"/>
        <w:rPr>
          <w:b/>
          <w:color w:val="000000" w:themeColor="text1"/>
        </w:rPr>
      </w:pPr>
      <w:r w:rsidRPr="00FD73B8">
        <w:rPr>
          <w:b/>
          <w:color w:val="000000" w:themeColor="text1"/>
        </w:rPr>
        <w:t>Storage Limitation</w:t>
      </w:r>
    </w:p>
    <w:p w14:paraId="36D9915D" w14:textId="77777777" w:rsidR="00EC504C" w:rsidRDefault="00EC504C" w:rsidP="00EC504C">
      <w:pPr>
        <w:tabs>
          <w:tab w:val="left" w:pos="284"/>
        </w:tabs>
        <w:spacing w:before="120"/>
        <w:ind w:firstLine="567"/>
        <w:jc w:val="both"/>
        <w:rPr>
          <w:color w:val="000000" w:themeColor="text1"/>
        </w:rPr>
      </w:pPr>
      <w:r w:rsidRPr="002B3771">
        <w:rPr>
          <w:color w:val="000000" w:themeColor="text1"/>
        </w:rPr>
        <w:t>Service providers or organizations need to delete personal data when it is no longer needed. According to marketing firm Epsilon Abacus, organizations may argue that they “should be allowed to retain data for as long as the individual can be considered a customer. With regard to the length of data retention, any organization is unsure of how long to retain personal data. This should be consulted with a legal professional.</w:t>
      </w:r>
    </w:p>
    <w:p w14:paraId="53AA6457" w14:textId="77777777" w:rsidR="00EC504C" w:rsidRDefault="00EC504C" w:rsidP="00EC504C">
      <w:pPr>
        <w:tabs>
          <w:tab w:val="left" w:pos="284"/>
        </w:tabs>
        <w:spacing w:before="120"/>
        <w:ind w:firstLine="567"/>
        <w:jc w:val="both"/>
        <w:rPr>
          <w:color w:val="000000" w:themeColor="text1"/>
        </w:rPr>
      </w:pPr>
      <w:r w:rsidRPr="002C1659">
        <w:rPr>
          <w:color w:val="000000" w:themeColor="text1"/>
        </w:rPr>
        <w:t xml:space="preserve">This principle has also been regulated in Article 43 of the PDP Law 2022 which stipulates that the Personal Data Controller is obliged to delete Personal Data in the event that: Personal Data is no longer needed for the achievement </w:t>
      </w:r>
      <w:r w:rsidRPr="002C1659">
        <w:rPr>
          <w:color w:val="000000" w:themeColor="text1"/>
        </w:rPr>
        <w:t>of the purposes of processing Personal Data, the Personal Data Subject has withdrawn his consent to the processing of Personal Data, there is a request from the Subject of Personal Data or Personal Data is obtained and/or processed in an unlawful manner.</w:t>
      </w:r>
    </w:p>
    <w:p w14:paraId="4AD8495A" w14:textId="77777777" w:rsidR="00EC504C" w:rsidRPr="00FD73B8" w:rsidRDefault="00EC504C" w:rsidP="00EC504C">
      <w:pPr>
        <w:pStyle w:val="ListParagraph"/>
        <w:numPr>
          <w:ilvl w:val="0"/>
          <w:numId w:val="18"/>
        </w:numPr>
        <w:tabs>
          <w:tab w:val="left" w:pos="284"/>
        </w:tabs>
        <w:spacing w:before="120"/>
        <w:ind w:hanging="1080"/>
        <w:contextualSpacing w:val="0"/>
        <w:jc w:val="both"/>
        <w:rPr>
          <w:b/>
          <w:color w:val="000000" w:themeColor="text1"/>
        </w:rPr>
      </w:pPr>
      <w:r w:rsidRPr="00FD73B8">
        <w:rPr>
          <w:b/>
          <w:color w:val="000000" w:themeColor="text1"/>
        </w:rPr>
        <w:t xml:space="preserve">Integrity </w:t>
      </w:r>
      <w:r>
        <w:rPr>
          <w:b/>
          <w:color w:val="000000" w:themeColor="text1"/>
        </w:rPr>
        <w:t>a</w:t>
      </w:r>
      <w:r w:rsidRPr="00FD73B8">
        <w:rPr>
          <w:b/>
          <w:color w:val="000000" w:themeColor="text1"/>
        </w:rPr>
        <w:t>nd Confidentiality</w:t>
      </w:r>
    </w:p>
    <w:p w14:paraId="6682E32D" w14:textId="77777777" w:rsidR="00EC504C" w:rsidRDefault="00EC504C" w:rsidP="00EC504C">
      <w:pPr>
        <w:spacing w:before="120"/>
        <w:ind w:firstLine="567"/>
        <w:jc w:val="both"/>
        <w:rPr>
          <w:color w:val="000000" w:themeColor="text1"/>
        </w:rPr>
      </w:pPr>
      <w:r w:rsidRPr="00A94F53">
        <w:rPr>
          <w:color w:val="000000" w:themeColor="text1"/>
        </w:rPr>
        <w:t>This is the only principle that deals explicitly with security. The GDPR states that personal data must be processed in a manner that ensures appropriate security of the personal data, including protection against unauthorized or unlawful processing and against accidental loss, destruction or damage, using appropriate technical or organizational measures”.</w:t>
      </w:r>
    </w:p>
    <w:p w14:paraId="46521B40" w14:textId="77777777" w:rsidR="00EC504C" w:rsidRDefault="00EC504C" w:rsidP="00EC504C">
      <w:pPr>
        <w:spacing w:before="120"/>
        <w:ind w:firstLine="567"/>
        <w:jc w:val="both"/>
        <w:rPr>
          <w:color w:val="000000" w:themeColor="text1"/>
        </w:rPr>
      </w:pPr>
      <w:r w:rsidRPr="00657FC2">
        <w:rPr>
          <w:color w:val="000000" w:themeColor="text1"/>
        </w:rPr>
        <w:t xml:space="preserve">This principle is important to apply in order to provide security guarantees for personal data that is under their control. Thus, Article 16 (2) of the PDP Law 2022 stipulates that the processing of Personal Data is carried out with the aim of protecting the security of Personal Data from unauthorized access, unauthorized disclosure, unauthorized alteration, misuse, destruction, and/or loss of Personal Data. </w:t>
      </w:r>
    </w:p>
    <w:p w14:paraId="56EC4149" w14:textId="77777777" w:rsidR="00EC504C" w:rsidRPr="002A4D48" w:rsidRDefault="00EC504C" w:rsidP="00F97315">
      <w:pPr>
        <w:pStyle w:val="ListParagraph"/>
        <w:numPr>
          <w:ilvl w:val="0"/>
          <w:numId w:val="14"/>
        </w:numPr>
        <w:tabs>
          <w:tab w:val="left" w:pos="284"/>
        </w:tabs>
        <w:spacing w:before="120"/>
        <w:ind w:left="284" w:hanging="284"/>
        <w:jc w:val="both"/>
        <w:rPr>
          <w:b/>
          <w:color w:val="000000" w:themeColor="text1"/>
          <w:sz w:val="24"/>
          <w:szCs w:val="24"/>
        </w:rPr>
      </w:pPr>
      <w:r w:rsidRPr="002A4D48">
        <w:rPr>
          <w:b/>
          <w:color w:val="000000" w:themeColor="text1"/>
          <w:sz w:val="24"/>
          <w:szCs w:val="24"/>
        </w:rPr>
        <w:t>Data Protection Rights for Individuals as a Consumer</w:t>
      </w:r>
    </w:p>
    <w:p w14:paraId="409181F5" w14:textId="77777777" w:rsidR="00EC504C" w:rsidRDefault="00EC504C" w:rsidP="00EC504C">
      <w:pPr>
        <w:tabs>
          <w:tab w:val="left" w:pos="284"/>
        </w:tabs>
        <w:spacing w:before="120"/>
        <w:ind w:firstLine="567"/>
        <w:jc w:val="both"/>
        <w:rPr>
          <w:color w:val="000000" w:themeColor="text1"/>
        </w:rPr>
      </w:pPr>
      <w:r>
        <w:rPr>
          <w:color w:val="000000" w:themeColor="text1"/>
        </w:rPr>
        <w:t>In Indonesia, r</w:t>
      </w:r>
      <w:r w:rsidRPr="00CF77ED">
        <w:rPr>
          <w:color w:val="000000" w:themeColor="text1"/>
        </w:rPr>
        <w:t>efer</w:t>
      </w:r>
      <w:r>
        <w:rPr>
          <w:color w:val="000000" w:themeColor="text1"/>
        </w:rPr>
        <w:t>ring</w:t>
      </w:r>
      <w:r w:rsidRPr="00CF77ED">
        <w:rPr>
          <w:color w:val="000000" w:themeColor="text1"/>
        </w:rPr>
        <w:t xml:space="preserve"> to Article 1 Paragraph 2 of Law Number 8 of 1999 concerning Consumer Protection (Consumer Protection Act),</w:t>
      </w:r>
      <w:r w:rsidRPr="009B498D">
        <w:rPr>
          <w:rStyle w:val="FootnoteReference"/>
          <w:rFonts w:eastAsiaTheme="minorEastAsia"/>
        </w:rPr>
        <w:footnoteReference w:id="49"/>
      </w:r>
      <w:r w:rsidRPr="00CF77ED">
        <w:rPr>
          <w:color w:val="000000" w:themeColor="text1"/>
        </w:rPr>
        <w:t xml:space="preserve"> what is meant by the consumer is "every person who uses goods and/or services available in the community, both for self-interest themselves, their families, other people, and other living creatures and are not for trade”.</w:t>
      </w:r>
      <w:r>
        <w:rPr>
          <w:color w:val="000000" w:themeColor="text1"/>
        </w:rPr>
        <w:t xml:space="preserve"> T</w:t>
      </w:r>
      <w:r w:rsidRPr="00F4535B">
        <w:rPr>
          <w:color w:val="000000" w:themeColor="text1"/>
        </w:rPr>
        <w:t>his definition explains that users of eHealth applications who take advantage of services provided by health service providers can be included in the consumer category.</w:t>
      </w:r>
    </w:p>
    <w:p w14:paraId="2933782F" w14:textId="77777777" w:rsidR="00EC504C" w:rsidRDefault="00EC504C" w:rsidP="00EC504C">
      <w:pPr>
        <w:tabs>
          <w:tab w:val="left" w:pos="284"/>
        </w:tabs>
        <w:spacing w:before="120"/>
        <w:ind w:firstLine="567"/>
        <w:jc w:val="both"/>
        <w:rPr>
          <w:color w:val="000000" w:themeColor="text1"/>
        </w:rPr>
      </w:pPr>
      <w:r w:rsidRPr="00DD4580">
        <w:rPr>
          <w:color w:val="000000" w:themeColor="text1"/>
        </w:rPr>
        <w:t>As consumers, regulations in Indonesia have regulated consumer rights that must be provided by service providers. The purpose of enacting the Consumer Protection Act is to raise awareness among business actors about the importance of consumer protection so that an honest and responsible attitude grows in doing business. Here, business actors are also expected to improve the quality of goods and/or services that ensure the continuity of the business of producing goods and/or services, health, comfort, security, and consumer safety.</w:t>
      </w:r>
      <w:r>
        <w:rPr>
          <w:color w:val="000000" w:themeColor="text1"/>
        </w:rPr>
        <w:t xml:space="preserve"> </w:t>
      </w:r>
    </w:p>
    <w:p w14:paraId="3696774B" w14:textId="77777777" w:rsidR="00EC504C" w:rsidRDefault="00EC504C" w:rsidP="00EC504C">
      <w:pPr>
        <w:tabs>
          <w:tab w:val="left" w:pos="284"/>
        </w:tabs>
        <w:spacing w:before="120"/>
        <w:ind w:firstLine="567"/>
        <w:jc w:val="both"/>
      </w:pPr>
      <w:r w:rsidRPr="00DD4580">
        <w:rPr>
          <w:color w:val="000000" w:themeColor="text1"/>
        </w:rPr>
        <w:t>However, from the consumer's point of view, it is also expected to increase awareness, ability, and independence to protect themselves. Existing regulations will not be able to protect consumers properly, if the consumers themselves ignore the principles of data protection, such as disclosing their own private data to the public.</w:t>
      </w:r>
    </w:p>
    <w:p w14:paraId="456B5861" w14:textId="77777777" w:rsidR="00EC504C" w:rsidRDefault="00EC504C" w:rsidP="00EC504C">
      <w:pPr>
        <w:tabs>
          <w:tab w:val="left" w:pos="284"/>
        </w:tabs>
        <w:spacing w:before="120"/>
        <w:ind w:firstLine="567"/>
        <w:jc w:val="both"/>
        <w:rPr>
          <w:color w:val="000000" w:themeColor="text1"/>
        </w:rPr>
      </w:pPr>
      <w:r w:rsidRPr="001A0060">
        <w:rPr>
          <w:color w:val="000000" w:themeColor="text1"/>
        </w:rPr>
        <w:t>In Indonesia, data protection for consumers is implicitly regulated in Article 2 Paragraph 1 of the Regulation of the Minister of Communications and Information Technology Number 20 of 2016 concerning Protection of Personal Data in Electronic Systems (</w:t>
      </w:r>
      <w:proofErr w:type="spellStart"/>
      <w:r w:rsidRPr="001A0060">
        <w:rPr>
          <w:color w:val="000000" w:themeColor="text1"/>
        </w:rPr>
        <w:t>Permen</w:t>
      </w:r>
      <w:proofErr w:type="spellEnd"/>
      <w:r w:rsidRPr="001A0060">
        <w:rPr>
          <w:color w:val="000000" w:themeColor="text1"/>
        </w:rPr>
        <w:t xml:space="preserve"> </w:t>
      </w:r>
      <w:proofErr w:type="spellStart"/>
      <w:r w:rsidRPr="001A0060">
        <w:rPr>
          <w:color w:val="000000" w:themeColor="text1"/>
        </w:rPr>
        <w:lastRenderedPageBreak/>
        <w:t>Kominfo</w:t>
      </w:r>
      <w:proofErr w:type="spellEnd"/>
      <w:r w:rsidRPr="001A0060">
        <w:rPr>
          <w:color w:val="000000" w:themeColor="text1"/>
        </w:rPr>
        <w:t xml:space="preserve"> No. 20).</w:t>
      </w:r>
      <w:r w:rsidRPr="009B498D">
        <w:rPr>
          <w:rStyle w:val="FootnoteReference"/>
          <w:rFonts w:eastAsiaTheme="minorEastAsia"/>
        </w:rPr>
        <w:footnoteReference w:id="50"/>
      </w:r>
      <w:r w:rsidRPr="001A0060">
        <w:rPr>
          <w:color w:val="000000" w:themeColor="text1"/>
        </w:rPr>
        <w:t xml:space="preserve"> Protection of Personal Data in Electronic Systems includes protection against the acquisition, collection, processing, analysis, storage, display, announcement, transmission, dissemination, and destruction of Personal Data.</w:t>
      </w:r>
    </w:p>
    <w:p w14:paraId="422A5CCD" w14:textId="77777777" w:rsidR="00EC504C" w:rsidRDefault="00EC504C" w:rsidP="00EC504C">
      <w:pPr>
        <w:tabs>
          <w:tab w:val="left" w:pos="284"/>
        </w:tabs>
        <w:spacing w:before="120"/>
        <w:jc w:val="both"/>
        <w:rPr>
          <w:color w:val="000000" w:themeColor="text1"/>
        </w:rPr>
      </w:pPr>
      <w:r>
        <w:rPr>
          <w:color w:val="000000" w:themeColor="text1"/>
        </w:rPr>
        <w:t xml:space="preserve">In this study, the authors identified some rights for </w:t>
      </w:r>
      <w:r w:rsidRPr="0039264A">
        <w:rPr>
          <w:color w:val="000000" w:themeColor="text1"/>
        </w:rPr>
        <w:t>Data Owner Rights</w:t>
      </w:r>
      <w:r>
        <w:rPr>
          <w:color w:val="000000" w:themeColor="text1"/>
        </w:rPr>
        <w:t>, as follows:</w:t>
      </w:r>
    </w:p>
    <w:p w14:paraId="6E36FCF6" w14:textId="77777777" w:rsidR="00EC504C" w:rsidRPr="002A4D48" w:rsidRDefault="00EC504C" w:rsidP="00EC504C">
      <w:pPr>
        <w:pStyle w:val="ListParagraph"/>
        <w:numPr>
          <w:ilvl w:val="0"/>
          <w:numId w:val="15"/>
        </w:numPr>
        <w:tabs>
          <w:tab w:val="left" w:pos="284"/>
        </w:tabs>
        <w:spacing w:before="120"/>
        <w:ind w:hanging="720"/>
        <w:jc w:val="both"/>
        <w:rPr>
          <w:b/>
          <w:color w:val="000000" w:themeColor="text1"/>
        </w:rPr>
      </w:pPr>
      <w:r w:rsidRPr="002A4D48">
        <w:rPr>
          <w:b/>
          <w:color w:val="000000" w:themeColor="text1"/>
        </w:rPr>
        <w:t>The Right to be Kept Confidential</w:t>
      </w:r>
    </w:p>
    <w:p w14:paraId="4E935710" w14:textId="77777777" w:rsidR="00EC504C" w:rsidRDefault="00EC504C" w:rsidP="00EC504C">
      <w:pPr>
        <w:spacing w:before="120"/>
        <w:ind w:firstLine="567"/>
        <w:jc w:val="both"/>
        <w:rPr>
          <w:color w:val="000000" w:themeColor="text1"/>
        </w:rPr>
      </w:pPr>
      <w:r w:rsidRPr="001249E8">
        <w:rPr>
          <w:color w:val="000000" w:themeColor="text1"/>
        </w:rPr>
        <w:t xml:space="preserve">Electronic System Operators that have provided, stored, and managed Personal Data must maintain the confidentiality of Personal Data and comply with </w:t>
      </w:r>
      <w:r>
        <w:rPr>
          <w:color w:val="000000" w:themeColor="text1"/>
        </w:rPr>
        <w:t xml:space="preserve">Article 38, </w:t>
      </w:r>
      <w:proofErr w:type="spellStart"/>
      <w:r w:rsidRPr="0016737C">
        <w:rPr>
          <w:color w:val="000000" w:themeColor="text1"/>
        </w:rPr>
        <w:t>Permen</w:t>
      </w:r>
      <w:proofErr w:type="spellEnd"/>
      <w:r w:rsidRPr="0016737C">
        <w:rPr>
          <w:color w:val="000000" w:themeColor="text1"/>
        </w:rPr>
        <w:t xml:space="preserve"> Data Protection</w:t>
      </w:r>
      <w:r>
        <w:rPr>
          <w:color w:val="000000" w:themeColor="text1"/>
        </w:rPr>
        <w:t>.</w:t>
      </w:r>
      <w:r>
        <w:rPr>
          <w:rStyle w:val="FootnoteReference"/>
          <w:rFonts w:eastAsiaTheme="minorEastAsia"/>
          <w:color w:val="000000" w:themeColor="text1"/>
        </w:rPr>
        <w:footnoteReference w:id="51"/>
      </w:r>
      <w:r>
        <w:rPr>
          <w:color w:val="000000" w:themeColor="text1"/>
        </w:rPr>
        <w:t xml:space="preserve"> </w:t>
      </w:r>
      <w:r w:rsidRPr="00A91B67">
        <w:rPr>
          <w:color w:val="000000" w:themeColor="text1"/>
        </w:rPr>
        <w:t xml:space="preserve">In essence, personal data is the property of individuals and their owners have the right to organize and manage their own data. </w:t>
      </w:r>
      <w:r>
        <w:rPr>
          <w:color w:val="000000" w:themeColor="text1"/>
        </w:rPr>
        <w:t>Thus,</w:t>
      </w:r>
      <w:r w:rsidRPr="00A91B67">
        <w:rPr>
          <w:color w:val="000000" w:themeColor="text1"/>
        </w:rPr>
        <w:t xml:space="preserve"> in principle, service providers in regulating and managing must obtain a permit.</w:t>
      </w:r>
      <w:r>
        <w:rPr>
          <w:color w:val="000000" w:themeColor="text1"/>
        </w:rPr>
        <w:t xml:space="preserve"> </w:t>
      </w:r>
      <w:r w:rsidRPr="002F30AE">
        <w:rPr>
          <w:color w:val="000000" w:themeColor="text1"/>
        </w:rPr>
        <w:t>The owner of the Personal Data is the individual to whom the rights to the personal data are attached.</w:t>
      </w:r>
    </w:p>
    <w:p w14:paraId="057FD7A9" w14:textId="77777777" w:rsidR="00EC504C" w:rsidRDefault="00EC504C" w:rsidP="00EC504C">
      <w:pPr>
        <w:spacing w:before="120"/>
        <w:ind w:firstLine="567"/>
        <w:jc w:val="both"/>
        <w:rPr>
          <w:color w:val="000000" w:themeColor="text1"/>
        </w:rPr>
      </w:pPr>
      <w:r w:rsidRPr="00580F58">
        <w:rPr>
          <w:color w:val="000000" w:themeColor="text1"/>
        </w:rPr>
        <w:t>Customer data is defined as the information your customers provide while interacting with your business via your website, mobile applications, surveys, social media, marketing campaigns, and other online and offline avenues.</w:t>
      </w:r>
      <w:r w:rsidRPr="009B498D">
        <w:rPr>
          <w:rStyle w:val="FootnoteReference"/>
          <w:rFonts w:eastAsiaTheme="minorEastAsia"/>
        </w:rPr>
        <w:footnoteReference w:id="52"/>
      </w:r>
      <w:r>
        <w:rPr>
          <w:color w:val="000000" w:themeColor="text1"/>
        </w:rPr>
        <w:t xml:space="preserve"> </w:t>
      </w:r>
      <w:r w:rsidRPr="00087786">
        <w:rPr>
          <w:color w:val="000000" w:themeColor="text1"/>
        </w:rPr>
        <w:t>In this case, electronic service providers must maintain the confidentiality of stored consumer data and must be managed in accordance with existing regulations.</w:t>
      </w:r>
      <w:r>
        <w:rPr>
          <w:color w:val="000000" w:themeColor="text1"/>
        </w:rPr>
        <w:t xml:space="preserve"> </w:t>
      </w:r>
      <w:r w:rsidRPr="00BE3E3B">
        <w:rPr>
          <w:color w:val="000000" w:themeColor="text1"/>
        </w:rPr>
        <w:t>Therefore, Article 36 of the PDP Law 2022 stipulates that in processing Personal Data, the Personal Data Controller is obliged to maintain the confidentiality of Personal Data.</w:t>
      </w:r>
    </w:p>
    <w:p w14:paraId="14810F84" w14:textId="77777777" w:rsidR="00EC504C" w:rsidRPr="002A4D48" w:rsidRDefault="00EC504C" w:rsidP="00EC504C">
      <w:pPr>
        <w:pStyle w:val="ListParagraph"/>
        <w:numPr>
          <w:ilvl w:val="0"/>
          <w:numId w:val="15"/>
        </w:numPr>
        <w:spacing w:before="120"/>
        <w:ind w:left="284" w:hanging="284"/>
        <w:jc w:val="both"/>
        <w:rPr>
          <w:b/>
          <w:color w:val="000000" w:themeColor="text1"/>
        </w:rPr>
      </w:pPr>
      <w:r w:rsidRPr="002A4D48">
        <w:rPr>
          <w:b/>
          <w:color w:val="000000" w:themeColor="text1"/>
        </w:rPr>
        <w:t>The Right to File a Lawsuit</w:t>
      </w:r>
    </w:p>
    <w:p w14:paraId="363CF95F" w14:textId="77777777" w:rsidR="00EC504C" w:rsidRDefault="00EC504C" w:rsidP="00EC504C">
      <w:pPr>
        <w:spacing w:before="120"/>
        <w:ind w:firstLine="567"/>
        <w:jc w:val="both"/>
        <w:rPr>
          <w:bCs/>
          <w:color w:val="000000" w:themeColor="text1"/>
        </w:rPr>
      </w:pPr>
      <w:r w:rsidRPr="00536EA8">
        <w:rPr>
          <w:bCs/>
          <w:color w:val="000000" w:themeColor="text1"/>
        </w:rPr>
        <w:t xml:space="preserve">In </w:t>
      </w:r>
      <w:proofErr w:type="spellStart"/>
      <w:r w:rsidRPr="0016737C">
        <w:rPr>
          <w:color w:val="000000" w:themeColor="text1"/>
        </w:rPr>
        <w:t>Permen</w:t>
      </w:r>
      <w:proofErr w:type="spellEnd"/>
      <w:r w:rsidRPr="0016737C">
        <w:rPr>
          <w:color w:val="000000" w:themeColor="text1"/>
        </w:rPr>
        <w:t xml:space="preserve"> Data Protection</w:t>
      </w:r>
      <w:r w:rsidRPr="00536EA8">
        <w:rPr>
          <w:bCs/>
          <w:color w:val="000000" w:themeColor="text1"/>
        </w:rPr>
        <w:t xml:space="preserve">, consumers can file a </w:t>
      </w:r>
      <w:r>
        <w:rPr>
          <w:bCs/>
          <w:color w:val="000000" w:themeColor="text1"/>
        </w:rPr>
        <w:t>l</w:t>
      </w:r>
      <w:r w:rsidRPr="00536EA8">
        <w:rPr>
          <w:bCs/>
          <w:color w:val="000000" w:themeColor="text1"/>
        </w:rPr>
        <w:t xml:space="preserve">awsuit </w:t>
      </w:r>
      <w:r>
        <w:rPr>
          <w:bCs/>
          <w:color w:val="000000" w:themeColor="text1"/>
        </w:rPr>
        <w:t xml:space="preserve">in </w:t>
      </w:r>
      <w:r w:rsidRPr="00536EA8">
        <w:rPr>
          <w:bCs/>
          <w:color w:val="000000" w:themeColor="text1"/>
        </w:rPr>
        <w:t xml:space="preserve">the context of resolving Personal Data disputes. This happens because </w:t>
      </w:r>
      <w:r>
        <w:rPr>
          <w:bCs/>
          <w:color w:val="000000" w:themeColor="text1"/>
        </w:rPr>
        <w:t>electronic services providers</w:t>
      </w:r>
      <w:r w:rsidRPr="00536EA8">
        <w:rPr>
          <w:bCs/>
          <w:color w:val="000000" w:themeColor="text1"/>
        </w:rPr>
        <w:t xml:space="preserve"> a failure to protect the confidentiality of their Personal Data by the Electronic System Operator to the Minister.</w:t>
      </w:r>
      <w:r>
        <w:rPr>
          <w:bCs/>
          <w:color w:val="000000" w:themeColor="text1"/>
        </w:rPr>
        <w:t xml:space="preserve">  </w:t>
      </w:r>
      <w:r w:rsidRPr="006A29FA">
        <w:rPr>
          <w:bCs/>
          <w:color w:val="000000" w:themeColor="text1"/>
        </w:rPr>
        <w:t>Electronic service providers should provide security guarantees for personal data. Therefore, this principle becomes the fundamental principle that gives the data owner the right to sue. This principle provides balance to the consumer.</w:t>
      </w:r>
      <w:r>
        <w:rPr>
          <w:bCs/>
          <w:color w:val="000000" w:themeColor="text1"/>
        </w:rPr>
        <w:t xml:space="preserve"> </w:t>
      </w:r>
      <w:r w:rsidRPr="000D33F3">
        <w:rPr>
          <w:bCs/>
          <w:color w:val="000000" w:themeColor="text1"/>
        </w:rPr>
        <w:t xml:space="preserve">It has also been regulated in Article 12 (1) </w:t>
      </w:r>
      <w:r>
        <w:rPr>
          <w:bCs/>
          <w:color w:val="000000" w:themeColor="text1"/>
        </w:rPr>
        <w:t xml:space="preserve">PDP Law 2022 </w:t>
      </w:r>
      <w:r w:rsidRPr="000D33F3">
        <w:rPr>
          <w:bCs/>
          <w:color w:val="000000" w:themeColor="text1"/>
        </w:rPr>
        <w:t>that Personal Data Subjects have the right to sue and receive compensation for violations of Personal Data processing about themselves in accordance with the provisions of laws and regulations.</w:t>
      </w:r>
    </w:p>
    <w:p w14:paraId="5C3770C0" w14:textId="77777777" w:rsidR="00EC504C" w:rsidRPr="002A4D48" w:rsidRDefault="00EC504C" w:rsidP="00EC504C">
      <w:pPr>
        <w:pStyle w:val="ListParagraph"/>
        <w:numPr>
          <w:ilvl w:val="0"/>
          <w:numId w:val="15"/>
        </w:numPr>
        <w:tabs>
          <w:tab w:val="left" w:pos="284"/>
        </w:tabs>
        <w:spacing w:before="120"/>
        <w:ind w:hanging="720"/>
        <w:jc w:val="both"/>
        <w:rPr>
          <w:b/>
          <w:color w:val="000000" w:themeColor="text1"/>
        </w:rPr>
      </w:pPr>
      <w:r w:rsidRPr="002A4D48">
        <w:rPr>
          <w:b/>
          <w:color w:val="000000" w:themeColor="text1"/>
        </w:rPr>
        <w:t>The Right to Rectification</w:t>
      </w:r>
    </w:p>
    <w:p w14:paraId="55ED5B47" w14:textId="77777777" w:rsidR="00EC504C" w:rsidRDefault="00EC504C" w:rsidP="00EC504C">
      <w:pPr>
        <w:spacing w:before="120"/>
        <w:ind w:firstLine="567"/>
        <w:jc w:val="both"/>
        <w:rPr>
          <w:bCs/>
          <w:color w:val="000000" w:themeColor="text1"/>
        </w:rPr>
      </w:pPr>
      <w:r w:rsidRPr="009F78FC">
        <w:rPr>
          <w:bCs/>
          <w:color w:val="000000" w:themeColor="text1"/>
        </w:rPr>
        <w:t>This right provides access or opportunity for data owners to change or update their Personal Data without disturbing the Personal Data management system.</w:t>
      </w:r>
      <w:r>
        <w:rPr>
          <w:bCs/>
          <w:color w:val="000000" w:themeColor="text1"/>
        </w:rPr>
        <w:t xml:space="preserve"> </w:t>
      </w:r>
      <w:r w:rsidRPr="00BF7FC8">
        <w:rPr>
          <w:bCs/>
          <w:color w:val="000000" w:themeColor="text1"/>
        </w:rPr>
        <w:t>The principle of this right is also regulated in the GDPR. Data owner reserves the right to correct inaccurate personal data or also be able to complete incomplete personal data.</w:t>
      </w:r>
      <w:r>
        <w:rPr>
          <w:bCs/>
          <w:color w:val="000000" w:themeColor="text1"/>
        </w:rPr>
        <w:t xml:space="preserve"> </w:t>
      </w:r>
      <w:r w:rsidRPr="00684D23">
        <w:rPr>
          <w:bCs/>
          <w:color w:val="000000" w:themeColor="text1"/>
        </w:rPr>
        <w:t xml:space="preserve">This </w:t>
      </w:r>
      <w:r w:rsidRPr="00684D23">
        <w:rPr>
          <w:bCs/>
          <w:color w:val="000000" w:themeColor="text1"/>
        </w:rPr>
        <w:t>has also been regulated in Article 6 of the PDP Law 2022 which states that the subject of Personal Data has the right to complete, update, and/or correct errors and/or inaccuracies of Personal Data about himself in accordance with the purpose of processing Personal Data.</w:t>
      </w:r>
    </w:p>
    <w:p w14:paraId="0DD3915B" w14:textId="77777777" w:rsidR="00EC504C" w:rsidRPr="002A4D48" w:rsidRDefault="00EC504C" w:rsidP="00EC504C">
      <w:pPr>
        <w:pStyle w:val="ListParagraph"/>
        <w:numPr>
          <w:ilvl w:val="0"/>
          <w:numId w:val="15"/>
        </w:numPr>
        <w:spacing w:before="120"/>
        <w:ind w:left="284" w:hanging="284"/>
        <w:jc w:val="both"/>
        <w:rPr>
          <w:b/>
          <w:color w:val="000000" w:themeColor="text1"/>
        </w:rPr>
      </w:pPr>
      <w:r w:rsidRPr="002A4D48">
        <w:rPr>
          <w:b/>
          <w:color w:val="000000" w:themeColor="text1"/>
        </w:rPr>
        <w:t>The Right to Access Data history</w:t>
      </w:r>
    </w:p>
    <w:p w14:paraId="087C0C61" w14:textId="77777777" w:rsidR="00EC504C" w:rsidRDefault="00EC504C" w:rsidP="00EC504C">
      <w:pPr>
        <w:spacing w:before="120"/>
        <w:ind w:firstLine="567"/>
        <w:jc w:val="both"/>
        <w:rPr>
          <w:color w:val="2E3440"/>
          <w:shd w:val="clear" w:color="auto" w:fill="FFFFFF"/>
        </w:rPr>
      </w:pPr>
      <w:r w:rsidRPr="004C19E8">
        <w:rPr>
          <w:bCs/>
          <w:color w:val="000000" w:themeColor="text1"/>
        </w:rPr>
        <w:t xml:space="preserve">This right provides an opportunity for the data owner to gain access or the opportunity to obtain historical Personal Data. Of course, this data has been submitted to the Electronic System Operator before. </w:t>
      </w:r>
      <w:r w:rsidRPr="004C19E8">
        <w:rPr>
          <w:color w:val="2E3440"/>
          <w:shd w:val="clear" w:color="auto" w:fill="FFFFFF"/>
        </w:rPr>
        <w:t>The organizations who are processing your personal data should be well aware that they may receive and have to handle Subject Access Requests.</w:t>
      </w:r>
      <w:r>
        <w:rPr>
          <w:color w:val="2E3440"/>
          <w:shd w:val="clear" w:color="auto" w:fill="FFFFFF"/>
        </w:rPr>
        <w:t xml:space="preserve"> </w:t>
      </w:r>
      <w:r w:rsidRPr="00344475">
        <w:rPr>
          <w:color w:val="2E3440"/>
          <w:shd w:val="clear" w:color="auto" w:fill="FFFFFF"/>
        </w:rPr>
        <w:t>This has been regulated in Article 7 of the PDP Law 2022 that Personal Data Subjects are entitled to access and obtain a copy of Personal Data about themselves in accordance with the provisions of the legislation.</w:t>
      </w:r>
    </w:p>
    <w:p w14:paraId="19F3A12F" w14:textId="77777777" w:rsidR="00EC504C" w:rsidRPr="00344475" w:rsidRDefault="00EC504C" w:rsidP="00EC504C">
      <w:pPr>
        <w:pStyle w:val="ListParagraph"/>
        <w:numPr>
          <w:ilvl w:val="0"/>
          <w:numId w:val="15"/>
        </w:numPr>
        <w:spacing w:before="120"/>
        <w:ind w:left="426" w:hanging="426"/>
        <w:jc w:val="both"/>
        <w:rPr>
          <w:b/>
          <w:color w:val="000000" w:themeColor="text1"/>
        </w:rPr>
      </w:pPr>
      <w:r w:rsidRPr="00344475">
        <w:rPr>
          <w:b/>
          <w:color w:val="000000" w:themeColor="text1"/>
        </w:rPr>
        <w:t>The Right to Erasure</w:t>
      </w:r>
    </w:p>
    <w:p w14:paraId="327B478A" w14:textId="77777777" w:rsidR="00EC504C" w:rsidRDefault="00EC504C" w:rsidP="00EC504C">
      <w:pPr>
        <w:spacing w:before="120"/>
        <w:ind w:firstLine="567"/>
        <w:jc w:val="both"/>
        <w:rPr>
          <w:bCs/>
          <w:color w:val="000000" w:themeColor="text1"/>
        </w:rPr>
      </w:pPr>
      <w:r w:rsidRPr="00344475">
        <w:rPr>
          <w:bCs/>
          <w:color w:val="000000" w:themeColor="text1"/>
        </w:rPr>
        <w:t>The PDP Law 2022 has implemented this right. More detailed arrangements for this matter are contained in Article 8 which states that Personal Data Subjects have the right to terminate processing, delete, and/or destroy Personal Data about themselves in accordance with the provisions of laws and regulations.</w:t>
      </w:r>
      <w:r>
        <w:rPr>
          <w:bCs/>
          <w:color w:val="000000" w:themeColor="text1"/>
        </w:rPr>
        <w:t xml:space="preserve"> </w:t>
      </w:r>
      <w:r w:rsidRPr="00344475">
        <w:rPr>
          <w:bCs/>
          <w:color w:val="000000" w:themeColor="text1"/>
        </w:rPr>
        <w:t>Besides that,</w:t>
      </w:r>
      <w:r>
        <w:rPr>
          <w:bCs/>
          <w:color w:val="000000" w:themeColor="text1"/>
        </w:rPr>
        <w:t xml:space="preserve"> i</w:t>
      </w:r>
      <w:r w:rsidRPr="00EB1833">
        <w:rPr>
          <w:bCs/>
          <w:color w:val="000000" w:themeColor="text1"/>
        </w:rPr>
        <w:t xml:space="preserve">n </w:t>
      </w:r>
      <w:r>
        <w:rPr>
          <w:bCs/>
          <w:color w:val="000000" w:themeColor="text1"/>
        </w:rPr>
        <w:t xml:space="preserve">Article 20, </w:t>
      </w:r>
      <w:proofErr w:type="spellStart"/>
      <w:r w:rsidRPr="0016737C">
        <w:rPr>
          <w:color w:val="000000" w:themeColor="text1"/>
        </w:rPr>
        <w:t>Permen</w:t>
      </w:r>
      <w:proofErr w:type="spellEnd"/>
      <w:r w:rsidRPr="0016737C">
        <w:rPr>
          <w:color w:val="000000" w:themeColor="text1"/>
        </w:rPr>
        <w:t xml:space="preserve"> Data Protection</w:t>
      </w:r>
      <w:r w:rsidRPr="00EB1833">
        <w:rPr>
          <w:bCs/>
          <w:color w:val="000000" w:themeColor="text1"/>
        </w:rPr>
        <w:t>, the data owner may request the destruction of his/her Certain Individual Data in the Electronic System managed by the Electronic System Operator.</w:t>
      </w:r>
    </w:p>
    <w:p w14:paraId="3E744D34" w14:textId="77777777" w:rsidR="00EC504C" w:rsidRPr="002A4D48" w:rsidRDefault="00EC504C" w:rsidP="00EC504C">
      <w:pPr>
        <w:pStyle w:val="ListParagraph"/>
        <w:numPr>
          <w:ilvl w:val="0"/>
          <w:numId w:val="14"/>
        </w:numPr>
        <w:tabs>
          <w:tab w:val="left" w:pos="284"/>
        </w:tabs>
        <w:spacing w:before="120"/>
        <w:ind w:hanging="720"/>
        <w:jc w:val="both"/>
        <w:rPr>
          <w:b/>
          <w:color w:val="000000" w:themeColor="text1"/>
        </w:rPr>
      </w:pPr>
      <w:r w:rsidRPr="002A4D48">
        <w:rPr>
          <w:b/>
          <w:color w:val="000000" w:themeColor="text1"/>
        </w:rPr>
        <w:t>Consumer Data Types</w:t>
      </w:r>
    </w:p>
    <w:p w14:paraId="0EC29617" w14:textId="77777777" w:rsidR="00EC504C" w:rsidRDefault="00EC504C" w:rsidP="00EC504C">
      <w:pPr>
        <w:spacing w:before="120"/>
        <w:ind w:firstLine="567"/>
        <w:jc w:val="both"/>
        <w:rPr>
          <w:color w:val="000000" w:themeColor="text1"/>
        </w:rPr>
      </w:pPr>
      <w:r w:rsidRPr="006E18D3">
        <w:rPr>
          <w:color w:val="000000" w:themeColor="text1"/>
        </w:rPr>
        <w:t xml:space="preserve">The emergence of “Big Data” and </w:t>
      </w:r>
      <w:r>
        <w:rPr>
          <w:color w:val="000000" w:themeColor="text1"/>
        </w:rPr>
        <w:t xml:space="preserve">the </w:t>
      </w:r>
      <w:r w:rsidRPr="006E18D3">
        <w:rPr>
          <w:color w:val="000000" w:themeColor="text1"/>
        </w:rPr>
        <w:t xml:space="preserve">“Internet of Things (IoT)” </w:t>
      </w:r>
      <w:r>
        <w:rPr>
          <w:color w:val="000000" w:themeColor="text1"/>
        </w:rPr>
        <w:t>make</w:t>
      </w:r>
      <w:r w:rsidRPr="006E18D3">
        <w:rPr>
          <w:color w:val="000000" w:themeColor="text1"/>
        </w:rPr>
        <w:t xml:space="preserve"> consumer data easy to collect and manage. </w:t>
      </w:r>
      <w:r w:rsidRPr="001956E8">
        <w:rPr>
          <w:color w:val="000000" w:themeColor="text1"/>
        </w:rPr>
        <w:t>‘</w:t>
      </w:r>
      <w:r>
        <w:rPr>
          <w:color w:val="000000" w:themeColor="text1"/>
        </w:rPr>
        <w:t>B</w:t>
      </w:r>
      <w:r w:rsidRPr="001956E8">
        <w:rPr>
          <w:color w:val="000000" w:themeColor="text1"/>
        </w:rPr>
        <w:t xml:space="preserve">ig data’ represents large amounts of data that </w:t>
      </w:r>
      <w:r>
        <w:rPr>
          <w:color w:val="000000" w:themeColor="text1"/>
        </w:rPr>
        <w:t>are</w:t>
      </w:r>
      <w:r w:rsidRPr="001956E8">
        <w:rPr>
          <w:color w:val="000000" w:themeColor="text1"/>
        </w:rPr>
        <w:t xml:space="preserve"> unmanageable</w:t>
      </w:r>
      <w:r>
        <w:rPr>
          <w:color w:val="000000" w:themeColor="text1"/>
        </w:rPr>
        <w:t xml:space="preserve"> </w:t>
      </w:r>
      <w:r w:rsidRPr="001956E8">
        <w:rPr>
          <w:color w:val="000000" w:themeColor="text1"/>
        </w:rPr>
        <w:t>using traditional software or internet-based platforms</w:t>
      </w:r>
      <w:r>
        <w:rPr>
          <w:color w:val="000000" w:themeColor="text1"/>
        </w:rPr>
        <w:t xml:space="preserve">. </w:t>
      </w:r>
      <w:r w:rsidRPr="007E7A41">
        <w:t>The ‘big’ part of big data is indicative of its large volume</w:t>
      </w:r>
      <w:r w:rsidRPr="007E7A41">
        <w:rPr>
          <w:color w:val="000000" w:themeColor="text1"/>
        </w:rPr>
        <w:t>.</w:t>
      </w:r>
      <w:r w:rsidRPr="009B498D">
        <w:rPr>
          <w:rStyle w:val="FootnoteReference"/>
          <w:rFonts w:eastAsiaTheme="minorEastAsia"/>
        </w:rPr>
        <w:footnoteReference w:id="53"/>
      </w:r>
      <w:r>
        <w:rPr>
          <w:color w:val="000000" w:themeColor="text1"/>
        </w:rPr>
        <w:t xml:space="preserve"> </w:t>
      </w:r>
      <w:r w:rsidRPr="006E18D3">
        <w:rPr>
          <w:color w:val="000000" w:themeColor="text1"/>
        </w:rPr>
        <w:t>Management of data related to consumer data is part of this.</w:t>
      </w:r>
      <w:r>
        <w:rPr>
          <w:color w:val="000000" w:themeColor="text1"/>
        </w:rPr>
        <w:t xml:space="preserve"> Here, t</w:t>
      </w:r>
      <w:r w:rsidRPr="006E18D3">
        <w:rPr>
          <w:color w:val="000000" w:themeColor="text1"/>
        </w:rPr>
        <w:t>he principle of "good faith" for data management is part of the principle of "trust" that can be built to build trust between the data management party and the customer.</w:t>
      </w:r>
      <w:r>
        <w:rPr>
          <w:color w:val="000000" w:themeColor="text1"/>
        </w:rPr>
        <w:t xml:space="preserve">  </w:t>
      </w:r>
    </w:p>
    <w:p w14:paraId="5A04ADCC" w14:textId="77777777" w:rsidR="00EC504C" w:rsidRDefault="00EC504C" w:rsidP="00EC504C">
      <w:pPr>
        <w:spacing w:before="120"/>
        <w:ind w:firstLine="567"/>
        <w:jc w:val="both"/>
        <w:rPr>
          <w:color w:val="000000" w:themeColor="text1"/>
        </w:rPr>
      </w:pPr>
      <w:r w:rsidRPr="0013518E">
        <w:rPr>
          <w:color w:val="000000" w:themeColor="text1"/>
        </w:rPr>
        <w:t xml:space="preserve">From a business perspective, leveraging consumer data to create profits for service providers is certainly common. </w:t>
      </w:r>
      <w:r>
        <w:rPr>
          <w:color w:val="000000" w:themeColor="text1"/>
        </w:rPr>
        <w:t>Thus,</w:t>
      </w:r>
      <w:r w:rsidRPr="0013518E">
        <w:rPr>
          <w:color w:val="000000" w:themeColor="text1"/>
        </w:rPr>
        <w:t xml:space="preserve"> there are various ways, to explore consumer data to be part of the activities of the business plan going forward. With the development of information and communication technology, data mining activities can easily be carried out in various ways. Here,</w:t>
      </w:r>
      <w:r>
        <w:rPr>
          <w:color w:val="000000" w:themeColor="text1"/>
        </w:rPr>
        <w:t xml:space="preserve"> d</w:t>
      </w:r>
      <w:r w:rsidRPr="00F26F41">
        <w:rPr>
          <w:color w:val="000000" w:themeColor="text1"/>
        </w:rPr>
        <w:t xml:space="preserve">ata mining is a technique that attempts to explain large data sets by identifying significant patterns of </w:t>
      </w:r>
      <w:r>
        <w:rPr>
          <w:color w:val="000000" w:themeColor="text1"/>
        </w:rPr>
        <w:t>behavior</w:t>
      </w:r>
      <w:r w:rsidRPr="00F26F41">
        <w:rPr>
          <w:color w:val="000000" w:themeColor="text1"/>
        </w:rPr>
        <w:t>, associations, changes, or structures in data.</w:t>
      </w:r>
      <w:r w:rsidRPr="009B498D">
        <w:rPr>
          <w:rStyle w:val="FootnoteReference"/>
          <w:rFonts w:eastAsiaTheme="minorEastAsia"/>
        </w:rPr>
        <w:footnoteReference w:id="54"/>
      </w:r>
      <w:r w:rsidRPr="00F26F41">
        <w:rPr>
          <w:color w:val="000000" w:themeColor="text1"/>
        </w:rPr>
        <w:t xml:space="preserve"> </w:t>
      </w:r>
    </w:p>
    <w:p w14:paraId="008C42DB" w14:textId="77777777" w:rsidR="00EC504C" w:rsidRDefault="00EC504C" w:rsidP="00EC504C">
      <w:pPr>
        <w:spacing w:before="120"/>
        <w:ind w:firstLine="567"/>
        <w:jc w:val="both"/>
        <w:rPr>
          <w:color w:val="000000" w:themeColor="text1"/>
        </w:rPr>
      </w:pPr>
      <w:r>
        <w:rPr>
          <w:color w:val="000000" w:themeColor="text1"/>
        </w:rPr>
        <w:t>In this regard, t</w:t>
      </w:r>
      <w:r w:rsidRPr="00027373">
        <w:rPr>
          <w:color w:val="000000" w:themeColor="text1"/>
        </w:rPr>
        <w:t xml:space="preserve">he huge amounts of </w:t>
      </w:r>
      <w:r>
        <w:rPr>
          <w:color w:val="000000" w:themeColor="text1"/>
        </w:rPr>
        <w:t xml:space="preserve">consumer </w:t>
      </w:r>
      <w:r w:rsidRPr="00027373">
        <w:rPr>
          <w:color w:val="000000" w:themeColor="text1"/>
        </w:rPr>
        <w:t xml:space="preserve">data </w:t>
      </w:r>
      <w:r>
        <w:rPr>
          <w:color w:val="000000" w:themeColor="text1"/>
        </w:rPr>
        <w:t xml:space="preserve">that </w:t>
      </w:r>
      <w:r w:rsidRPr="00027373">
        <w:rPr>
          <w:color w:val="000000" w:themeColor="text1"/>
        </w:rPr>
        <w:t>generated by healthcare transactions are too complex</w:t>
      </w:r>
      <w:r>
        <w:rPr>
          <w:color w:val="000000" w:themeColor="text1"/>
        </w:rPr>
        <w:t xml:space="preserve">. </w:t>
      </w:r>
      <w:r>
        <w:rPr>
          <w:color w:val="000000" w:themeColor="text1"/>
        </w:rPr>
        <w:lastRenderedPageBreak/>
        <w:t>Thus,</w:t>
      </w:r>
      <w:r w:rsidRPr="003028F7">
        <w:rPr>
          <w:color w:val="000000" w:themeColor="text1"/>
        </w:rPr>
        <w:t xml:space="preserve"> processing and </w:t>
      </w:r>
      <w:r>
        <w:rPr>
          <w:color w:val="000000" w:themeColor="text1"/>
        </w:rPr>
        <w:t>analyzing</w:t>
      </w:r>
      <w:r w:rsidRPr="003028F7">
        <w:rPr>
          <w:color w:val="000000" w:themeColor="text1"/>
        </w:rPr>
        <w:t xml:space="preserve"> the data cannot be done with a traditional approach.</w:t>
      </w:r>
      <w:r>
        <w:rPr>
          <w:color w:val="000000" w:themeColor="text1"/>
        </w:rPr>
        <w:t xml:space="preserve"> Here, d</w:t>
      </w:r>
      <w:r w:rsidRPr="00027373">
        <w:rPr>
          <w:color w:val="000000" w:themeColor="text1"/>
        </w:rPr>
        <w:t>ata mining provides the methodology and technology to transform these mounds of data into useful information for decision-making.</w:t>
      </w:r>
      <w:r w:rsidRPr="009B498D">
        <w:rPr>
          <w:rStyle w:val="FootnoteReference"/>
          <w:rFonts w:eastAsiaTheme="minorEastAsia"/>
        </w:rPr>
        <w:footnoteReference w:id="55"/>
      </w:r>
      <w:r>
        <w:rPr>
          <w:color w:val="000000" w:themeColor="text1"/>
        </w:rPr>
        <w:t xml:space="preserve"> </w:t>
      </w:r>
      <w:r w:rsidRPr="00E95016">
        <w:rPr>
          <w:color w:val="000000" w:themeColor="text1"/>
        </w:rPr>
        <w:t>Consumer data can be taken from the major components of a healthcare system which consists of</w:t>
      </w:r>
      <w:r>
        <w:rPr>
          <w:color w:val="000000" w:themeColor="text1"/>
        </w:rPr>
        <w:t xml:space="preserve"> </w:t>
      </w:r>
      <w:r w:rsidRPr="00E61823">
        <w:rPr>
          <w:color w:val="000000" w:themeColor="text1"/>
        </w:rPr>
        <w:t>health professionals (physicians or nurses), health facilities (clinics, hospitals for delivering medicines and other diagnosis or treatment technologies), and a financing institution supporting the former two</w:t>
      </w:r>
      <w:r w:rsidRPr="007E7A41">
        <w:rPr>
          <w:color w:val="000000" w:themeColor="text1"/>
        </w:rPr>
        <w:t>.</w:t>
      </w:r>
      <w:r w:rsidRPr="009B498D">
        <w:rPr>
          <w:rStyle w:val="FootnoteReference"/>
          <w:rFonts w:eastAsiaTheme="minorEastAsia"/>
        </w:rPr>
        <w:footnoteReference w:id="56"/>
      </w:r>
      <w:r>
        <w:rPr>
          <w:color w:val="000000" w:themeColor="text1"/>
        </w:rPr>
        <w:t xml:space="preserve"> </w:t>
      </w:r>
    </w:p>
    <w:p w14:paraId="1FED7393" w14:textId="77777777" w:rsidR="00EC504C" w:rsidRPr="00BB7C05" w:rsidRDefault="00EC504C" w:rsidP="00EC504C">
      <w:pPr>
        <w:spacing w:before="120"/>
        <w:ind w:firstLine="567"/>
        <w:jc w:val="both"/>
        <w:rPr>
          <w:color w:val="000000" w:themeColor="text1"/>
        </w:rPr>
      </w:pPr>
      <w:r w:rsidRPr="006E18D3">
        <w:rPr>
          <w:color w:val="000000" w:themeColor="text1"/>
        </w:rPr>
        <w:t xml:space="preserve">The information obtained from the consumer or in this case we call the patient will provide the necessary information </w:t>
      </w:r>
      <w:r>
        <w:rPr>
          <w:color w:val="000000" w:themeColor="text1"/>
        </w:rPr>
        <w:t>for</w:t>
      </w:r>
      <w:r w:rsidRPr="006E18D3">
        <w:rPr>
          <w:color w:val="000000" w:themeColor="text1"/>
        </w:rPr>
        <w:t xml:space="preserve"> diagnosing the disease. Then customer data can be interpreted as, "</w:t>
      </w:r>
      <w:r w:rsidRPr="00BB7C05">
        <w:rPr>
          <w:color w:val="000000" w:themeColor="text1"/>
        </w:rPr>
        <w:t xml:space="preserve"> the </w:t>
      </w:r>
      <w:r>
        <w:rPr>
          <w:color w:val="000000" w:themeColor="text1"/>
        </w:rPr>
        <w:t>behavioral</w:t>
      </w:r>
      <w:r w:rsidRPr="00BB7C05">
        <w:rPr>
          <w:color w:val="000000" w:themeColor="text1"/>
        </w:rPr>
        <w:t>, demographic and personal information about customers collected by businesses and marketing companies to understand, communicate and engage with customers</w:t>
      </w:r>
      <w:r>
        <w:rPr>
          <w:color w:val="000000" w:themeColor="text1"/>
        </w:rPr>
        <w:t>”</w:t>
      </w:r>
      <w:r w:rsidRPr="00BB7C05">
        <w:rPr>
          <w:color w:val="000000" w:themeColor="text1"/>
        </w:rPr>
        <w:t>.</w:t>
      </w:r>
      <w:r w:rsidRPr="009B498D">
        <w:rPr>
          <w:rStyle w:val="FootnoteReference"/>
          <w:rFonts w:eastAsiaTheme="minorEastAsia"/>
        </w:rPr>
        <w:footnoteReference w:id="57"/>
      </w:r>
      <w:r w:rsidRPr="006E18D3">
        <w:t xml:space="preserve"> </w:t>
      </w:r>
      <w:r>
        <w:rPr>
          <w:color w:val="000000" w:themeColor="text1"/>
        </w:rPr>
        <w:t>According to</w:t>
      </w:r>
      <w:r w:rsidRPr="006E18D3">
        <w:rPr>
          <w:color w:val="000000" w:themeColor="text1"/>
        </w:rPr>
        <w:t xml:space="preserve"> Deshpande's writing, customer data is divided into 4 (four) types, as follows:</w:t>
      </w:r>
    </w:p>
    <w:p w14:paraId="737781BA" w14:textId="77777777" w:rsidR="00EC504C" w:rsidRDefault="00EC504C" w:rsidP="00EC504C">
      <w:pPr>
        <w:spacing w:before="120"/>
        <w:jc w:val="both"/>
        <w:rPr>
          <w:b/>
          <w:color w:val="000000" w:themeColor="text1"/>
        </w:rPr>
      </w:pPr>
    </w:p>
    <w:p w14:paraId="4AB8B22C" w14:textId="77777777" w:rsidR="00EC504C" w:rsidRDefault="00EC504C" w:rsidP="00EC504C">
      <w:pPr>
        <w:spacing w:before="120"/>
        <w:jc w:val="both"/>
        <w:rPr>
          <w:b/>
          <w:color w:val="000000" w:themeColor="text1"/>
        </w:rPr>
      </w:pPr>
      <w:r>
        <w:rPr>
          <w:noProof/>
        </w:rPr>
        <w:drawing>
          <wp:inline distT="0" distB="0" distL="0" distR="0" wp14:anchorId="5A982565" wp14:editId="3BE5BA44">
            <wp:extent cx="2572512" cy="816842"/>
            <wp:effectExtent l="0" t="0" r="0" b="2540"/>
            <wp:docPr id="1" name="Picture 1" descr="Representation of the 4 Types of Customer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resentation of the 4 Types of Customer Dat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6620" cy="843549"/>
                    </a:xfrm>
                    <a:prstGeom prst="rect">
                      <a:avLst/>
                    </a:prstGeom>
                    <a:noFill/>
                    <a:ln>
                      <a:noFill/>
                    </a:ln>
                  </pic:spPr>
                </pic:pic>
              </a:graphicData>
            </a:graphic>
          </wp:inline>
        </w:drawing>
      </w:r>
    </w:p>
    <w:p w14:paraId="2A980BF1" w14:textId="77777777" w:rsidR="00EC504C" w:rsidRPr="00FE3AA1" w:rsidRDefault="00EC504C" w:rsidP="00EC504C">
      <w:pPr>
        <w:spacing w:before="120"/>
        <w:jc w:val="both"/>
        <w:rPr>
          <w:sz w:val="16"/>
          <w:szCs w:val="16"/>
        </w:rPr>
      </w:pPr>
      <w:r w:rsidRPr="00FE3AA1">
        <w:rPr>
          <w:sz w:val="16"/>
          <w:szCs w:val="16"/>
        </w:rPr>
        <w:t xml:space="preserve">Source: </w:t>
      </w:r>
      <w:hyperlink r:id="rId12" w:history="1">
        <w:r w:rsidRPr="00FE3AA1">
          <w:rPr>
            <w:rStyle w:val="Hyperlink"/>
            <w:color w:val="auto"/>
            <w:sz w:val="16"/>
            <w:szCs w:val="16"/>
          </w:rPr>
          <w:t>https://www.spiceworks.com</w:t>
        </w:r>
      </w:hyperlink>
      <w:r w:rsidRPr="00FE3AA1">
        <w:rPr>
          <w:sz w:val="16"/>
          <w:szCs w:val="16"/>
        </w:rPr>
        <w:t xml:space="preserve"> (Figure 2)</w:t>
      </w:r>
    </w:p>
    <w:p w14:paraId="260EDABE" w14:textId="77777777" w:rsidR="00EC504C" w:rsidRDefault="00EC504C" w:rsidP="00EC504C">
      <w:pPr>
        <w:pStyle w:val="ListParagraph"/>
        <w:numPr>
          <w:ilvl w:val="0"/>
          <w:numId w:val="12"/>
        </w:numPr>
        <w:tabs>
          <w:tab w:val="left" w:pos="284"/>
        </w:tabs>
        <w:spacing w:before="120"/>
        <w:ind w:hanging="720"/>
        <w:jc w:val="both"/>
        <w:rPr>
          <w:b/>
          <w:color w:val="000000" w:themeColor="text1"/>
        </w:rPr>
      </w:pPr>
      <w:r w:rsidRPr="00F73878">
        <w:rPr>
          <w:b/>
          <w:color w:val="000000" w:themeColor="text1"/>
        </w:rPr>
        <w:t>Personal Data</w:t>
      </w:r>
    </w:p>
    <w:p w14:paraId="22EA7BB9" w14:textId="77777777" w:rsidR="00EC504C" w:rsidRDefault="00EC504C" w:rsidP="00EC504C">
      <w:pPr>
        <w:tabs>
          <w:tab w:val="left" w:pos="284"/>
        </w:tabs>
        <w:spacing w:before="120"/>
        <w:ind w:firstLine="567"/>
        <w:jc w:val="both"/>
      </w:pPr>
      <w:r w:rsidRPr="00394B19">
        <w:rPr>
          <w:color w:val="000000" w:themeColor="text1"/>
        </w:rPr>
        <w:t xml:space="preserve">In business activities, including the provision of health services, personal data is "an intangible asset" for data managers. In this case, the data manager has an obligation to keep the collected data confidential. So indirectly, "personal data" can be categorized as part of a "trade secret" because it will be related to business activities. </w:t>
      </w:r>
      <w:r>
        <w:rPr>
          <w:color w:val="000000" w:themeColor="text1"/>
        </w:rPr>
        <w:t>From</w:t>
      </w:r>
      <w:r w:rsidRPr="00394B19">
        <w:rPr>
          <w:color w:val="000000" w:themeColor="text1"/>
        </w:rPr>
        <w:t xml:space="preserve"> </w:t>
      </w:r>
      <w:r>
        <w:rPr>
          <w:color w:val="000000" w:themeColor="text1"/>
        </w:rPr>
        <w:t xml:space="preserve">a </w:t>
      </w:r>
      <w:r w:rsidRPr="00394B19">
        <w:rPr>
          <w:color w:val="000000" w:themeColor="text1"/>
        </w:rPr>
        <w:t xml:space="preserve">legal perspective, </w:t>
      </w:r>
      <w:r w:rsidRPr="00394B19">
        <w:t>personal data could be protected by rules that govern trade secrets.</w:t>
      </w:r>
      <w:r w:rsidRPr="009B498D">
        <w:rPr>
          <w:rStyle w:val="FootnoteReference"/>
          <w:rFonts w:eastAsiaTheme="minorEastAsia"/>
        </w:rPr>
        <w:footnoteReference w:id="58"/>
      </w:r>
      <w:r w:rsidRPr="00394B19">
        <w:t xml:space="preserve">  </w:t>
      </w:r>
    </w:p>
    <w:p w14:paraId="189933BD" w14:textId="77777777" w:rsidR="00EC504C" w:rsidRDefault="00EC504C" w:rsidP="00EC504C">
      <w:pPr>
        <w:tabs>
          <w:tab w:val="left" w:pos="284"/>
        </w:tabs>
        <w:spacing w:before="120"/>
        <w:ind w:firstLine="567"/>
        <w:jc w:val="both"/>
        <w:rPr>
          <w:color w:val="000000" w:themeColor="text1"/>
        </w:rPr>
      </w:pPr>
      <w:r w:rsidRPr="00992A17">
        <w:rPr>
          <w:color w:val="000000" w:themeColor="text1"/>
        </w:rPr>
        <w:t>If personal data has economic value, then the data owner has "</w:t>
      </w:r>
      <w:r w:rsidRPr="00992A17">
        <w:rPr>
          <w:i/>
          <w:color w:val="000000" w:themeColor="text1"/>
        </w:rPr>
        <w:t>The Right to be Kept Confidential</w:t>
      </w:r>
      <w:r w:rsidRPr="00992A17">
        <w:rPr>
          <w:color w:val="000000" w:themeColor="text1"/>
        </w:rPr>
        <w:t>" and "</w:t>
      </w:r>
      <w:r w:rsidRPr="00992A17">
        <w:rPr>
          <w:i/>
          <w:color w:val="000000" w:themeColor="text1"/>
        </w:rPr>
        <w:t>The Right to Erasure</w:t>
      </w:r>
      <w:r w:rsidRPr="00992A17">
        <w:rPr>
          <w:color w:val="000000" w:themeColor="text1"/>
        </w:rPr>
        <w:t xml:space="preserve">". The data owner must consider the negative effects of the collected data. The worrying thing in data management is that data will be continuously processed and exploited for business benefits in </w:t>
      </w:r>
      <w:r>
        <w:rPr>
          <w:color w:val="000000" w:themeColor="text1"/>
        </w:rPr>
        <w:t>multiple</w:t>
      </w:r>
      <w:r w:rsidRPr="00992A17">
        <w:rPr>
          <w:color w:val="000000" w:themeColor="text1"/>
        </w:rPr>
        <w:t xml:space="preserve"> ways.</w:t>
      </w:r>
      <w:r w:rsidRPr="009B498D">
        <w:rPr>
          <w:rStyle w:val="FootnoteReference"/>
          <w:rFonts w:eastAsiaTheme="minorEastAsia"/>
        </w:rPr>
        <w:footnoteReference w:id="59"/>
      </w:r>
      <w:r w:rsidRPr="00992A17">
        <w:rPr>
          <w:color w:val="000000" w:themeColor="text1"/>
        </w:rPr>
        <w:t xml:space="preserve"> </w:t>
      </w:r>
      <w:r w:rsidRPr="00992A17">
        <w:t xml:space="preserve">Thus, </w:t>
      </w:r>
      <w:r w:rsidRPr="00992A17">
        <w:rPr>
          <w:color w:val="000000" w:themeColor="text1"/>
        </w:rPr>
        <w:t>the secret holder not only keeps private information well-hidden but also benefits from its exploitation.</w:t>
      </w:r>
      <w:r w:rsidRPr="009B498D">
        <w:rPr>
          <w:rStyle w:val="FootnoteReference"/>
          <w:rFonts w:eastAsiaTheme="minorEastAsia"/>
        </w:rPr>
        <w:footnoteReference w:id="60"/>
      </w:r>
      <w:r w:rsidRPr="00992A17">
        <w:rPr>
          <w:color w:val="000000" w:themeColor="text1"/>
        </w:rPr>
        <w:t xml:space="preserve"> </w:t>
      </w:r>
      <w:r>
        <w:rPr>
          <w:color w:val="000000" w:themeColor="text1"/>
        </w:rPr>
        <w:t xml:space="preserve">Here, </w:t>
      </w:r>
      <w:r w:rsidRPr="004573FC">
        <w:rPr>
          <w:color w:val="000000" w:themeColor="text1"/>
        </w:rPr>
        <w:t xml:space="preserve">personal data are at the </w:t>
      </w:r>
      <w:r>
        <w:rPr>
          <w:color w:val="000000" w:themeColor="text1"/>
        </w:rPr>
        <w:t>epicenter</w:t>
      </w:r>
      <w:r w:rsidRPr="004573FC">
        <w:rPr>
          <w:color w:val="000000" w:themeColor="text1"/>
        </w:rPr>
        <w:t xml:space="preserve"> of the digital economy, as determined by Big Data and in the near future, IoT.</w:t>
      </w:r>
      <w:r w:rsidRPr="009B498D">
        <w:rPr>
          <w:rStyle w:val="FootnoteReference"/>
          <w:rFonts w:eastAsiaTheme="minorEastAsia"/>
        </w:rPr>
        <w:footnoteReference w:id="61"/>
      </w:r>
    </w:p>
    <w:p w14:paraId="486290BB" w14:textId="77777777" w:rsidR="00EC504C" w:rsidRDefault="00EC504C" w:rsidP="00EC504C">
      <w:pPr>
        <w:tabs>
          <w:tab w:val="left" w:pos="284"/>
        </w:tabs>
        <w:spacing w:before="120"/>
        <w:ind w:firstLine="567"/>
        <w:jc w:val="both"/>
        <w:rPr>
          <w:color w:val="000000" w:themeColor="text1"/>
        </w:rPr>
      </w:pPr>
      <w:r w:rsidRPr="00C6415D">
        <w:rPr>
          <w:color w:val="000000" w:themeColor="text1"/>
        </w:rPr>
        <w:t xml:space="preserve">The data that falls into this category </w:t>
      </w:r>
      <w:r>
        <w:rPr>
          <w:color w:val="000000" w:themeColor="text1"/>
        </w:rPr>
        <w:t>are</w:t>
      </w:r>
      <w:r w:rsidRPr="00C6415D">
        <w:rPr>
          <w:color w:val="000000" w:themeColor="text1"/>
        </w:rPr>
        <w:t xml:space="preserve"> Personally Identifiable Information (PII) and Non-Personally Identifiable Information (Non-PII).</w:t>
      </w:r>
      <w:r w:rsidRPr="009B498D">
        <w:rPr>
          <w:rStyle w:val="FootnoteReference"/>
          <w:rFonts w:eastAsiaTheme="minorEastAsia"/>
        </w:rPr>
        <w:footnoteReference w:id="62"/>
      </w:r>
      <w:r w:rsidRPr="00C6415D">
        <w:rPr>
          <w:color w:val="000000" w:themeColor="text1"/>
        </w:rPr>
        <w:t xml:space="preserve"> Where the data included in the PII category are "Linked Information" and "Linkable Information". Linked Information refers to data that is general data, such as Full name, Physical address, and Driver's license number. Meanwhile, several data categories are included in financial data security, such as Social security numbers, and Credit/debit card details.</w:t>
      </w:r>
    </w:p>
    <w:p w14:paraId="0857432F" w14:textId="77777777" w:rsidR="00EC504C" w:rsidRDefault="00EC504C" w:rsidP="00EC504C">
      <w:pPr>
        <w:tabs>
          <w:tab w:val="left" w:pos="284"/>
        </w:tabs>
        <w:spacing w:before="120"/>
        <w:ind w:firstLine="567"/>
        <w:jc w:val="both"/>
        <w:rPr>
          <w:b/>
          <w:color w:val="000000" w:themeColor="text1"/>
        </w:rPr>
      </w:pPr>
      <w:r w:rsidRPr="00C6415D">
        <w:rPr>
          <w:color w:val="000000" w:themeColor="text1"/>
        </w:rPr>
        <w:t xml:space="preserve">Furthermore, the data entered in the “Linkable Information” category is any information that can't identify a person on its own, but it can do so when it's clubbed with another piece of information. Examples of linkable information include, </w:t>
      </w:r>
      <w:r>
        <w:rPr>
          <w:color w:val="000000" w:themeColor="text1"/>
        </w:rPr>
        <w:t>f</w:t>
      </w:r>
      <w:r w:rsidRPr="00C6415D">
        <w:rPr>
          <w:color w:val="000000" w:themeColor="text1"/>
        </w:rPr>
        <w:t xml:space="preserve">irst or last name, </w:t>
      </w:r>
      <w:r>
        <w:rPr>
          <w:color w:val="000000" w:themeColor="text1"/>
        </w:rPr>
        <w:t>c</w:t>
      </w:r>
      <w:r w:rsidRPr="00C6415D">
        <w:rPr>
          <w:color w:val="000000" w:themeColor="text1"/>
        </w:rPr>
        <w:t>ountry, state, city, ZIP code, and Job details.</w:t>
      </w:r>
    </w:p>
    <w:p w14:paraId="16B90F1C" w14:textId="77777777" w:rsidR="00EC504C" w:rsidRDefault="00EC504C" w:rsidP="00EC504C">
      <w:pPr>
        <w:pStyle w:val="ListParagraph"/>
        <w:numPr>
          <w:ilvl w:val="0"/>
          <w:numId w:val="12"/>
        </w:numPr>
        <w:tabs>
          <w:tab w:val="left" w:pos="284"/>
        </w:tabs>
        <w:spacing w:before="120"/>
        <w:ind w:hanging="720"/>
        <w:jc w:val="both"/>
        <w:rPr>
          <w:b/>
          <w:color w:val="000000" w:themeColor="text1"/>
        </w:rPr>
      </w:pPr>
      <w:r w:rsidRPr="00F73878">
        <w:rPr>
          <w:b/>
          <w:color w:val="000000" w:themeColor="text1"/>
        </w:rPr>
        <w:t>Engagement Data</w:t>
      </w:r>
    </w:p>
    <w:p w14:paraId="54855F04" w14:textId="77777777" w:rsidR="00EC504C" w:rsidRDefault="00EC504C" w:rsidP="00EC504C">
      <w:pPr>
        <w:pStyle w:val="ListParagraph"/>
        <w:tabs>
          <w:tab w:val="left" w:pos="284"/>
        </w:tabs>
        <w:spacing w:before="120"/>
        <w:ind w:left="0" w:firstLine="720"/>
        <w:contextualSpacing w:val="0"/>
        <w:jc w:val="both"/>
        <w:rPr>
          <w:color w:val="000000" w:themeColor="text1"/>
        </w:rPr>
      </w:pPr>
      <w:r w:rsidRPr="009A68F9">
        <w:rPr>
          <w:color w:val="000000" w:themeColor="text1"/>
        </w:rPr>
        <w:t>Engagement Data is part of the data generated from the customer's interaction with the brand of business actors through various marketing avenues.</w:t>
      </w:r>
      <w:r w:rsidRPr="009B498D">
        <w:rPr>
          <w:rStyle w:val="FootnoteReference"/>
          <w:rFonts w:eastAsiaTheme="minorEastAsia"/>
        </w:rPr>
        <w:footnoteReference w:id="63"/>
      </w:r>
      <w:r>
        <w:rPr>
          <w:color w:val="080809"/>
          <w:shd w:val="clear" w:color="auto" w:fill="FFFFFF"/>
        </w:rPr>
        <w:t xml:space="preserve"> </w:t>
      </w:r>
      <w:r w:rsidRPr="009A68F9">
        <w:rPr>
          <w:color w:val="080809"/>
          <w:shd w:val="clear" w:color="auto" w:fill="FFFFFF"/>
        </w:rPr>
        <w:t xml:space="preserve">This data was collected, such as the customer's </w:t>
      </w:r>
      <w:r>
        <w:rPr>
          <w:color w:val="080809"/>
          <w:shd w:val="clear" w:color="auto" w:fill="FFFFFF"/>
        </w:rPr>
        <w:t>behavior</w:t>
      </w:r>
      <w:r w:rsidRPr="009A68F9">
        <w:rPr>
          <w:color w:val="080809"/>
          <w:shd w:val="clear" w:color="auto" w:fill="FFFFFF"/>
        </w:rPr>
        <w:t xml:space="preserve"> on the website. In addition, this data obtained can be obtained through interaction activities in electronic media. Here the media used can be in the form of Websites and Mobile App Interactions which can be seen from the activities of Website visits, User flow, Traffic sources, etc. Social media channel engagement can also collect customer data, such as Post likes, Post shares, Post replies, etc.</w:t>
      </w:r>
      <w:r>
        <w:rPr>
          <w:color w:val="080809"/>
          <w:shd w:val="clear" w:color="auto" w:fill="FFFFFF"/>
        </w:rPr>
        <w:t xml:space="preserve"> </w:t>
      </w:r>
      <w:r>
        <w:rPr>
          <w:color w:val="000000" w:themeColor="text1"/>
        </w:rPr>
        <w:t xml:space="preserve">Here, </w:t>
      </w:r>
      <w:r w:rsidRPr="00A34D24">
        <w:rPr>
          <w:color w:val="000000" w:themeColor="text1"/>
        </w:rPr>
        <w:t>Social media platforms allow people to communicate, contribute to content creation as well as engage and interact with the published content.</w:t>
      </w:r>
      <w:r w:rsidRPr="009B498D">
        <w:rPr>
          <w:rStyle w:val="FootnoteReference"/>
          <w:rFonts w:eastAsiaTheme="minorEastAsia"/>
        </w:rPr>
        <w:footnoteReference w:id="64"/>
      </w:r>
      <w:r>
        <w:rPr>
          <w:color w:val="000000" w:themeColor="text1"/>
        </w:rPr>
        <w:t xml:space="preserve"> </w:t>
      </w:r>
    </w:p>
    <w:p w14:paraId="1B9AFEFD" w14:textId="77777777" w:rsidR="00EC504C" w:rsidRDefault="00EC504C" w:rsidP="00EC504C">
      <w:pPr>
        <w:pStyle w:val="ListParagraph"/>
        <w:tabs>
          <w:tab w:val="left" w:pos="284"/>
        </w:tabs>
        <w:spacing w:before="120"/>
        <w:ind w:left="0" w:firstLine="720"/>
        <w:contextualSpacing w:val="0"/>
        <w:jc w:val="both"/>
        <w:rPr>
          <w:color w:val="000000" w:themeColor="text1"/>
        </w:rPr>
      </w:pPr>
      <w:r w:rsidRPr="00FF5A2D">
        <w:rPr>
          <w:color w:val="000000" w:themeColor="text1"/>
        </w:rPr>
        <w:t>Besides that, information can also be obtained via Email Engagement which is supported through Open rate, Click-through rate, Email forwards, etc. Furthermore, Customer Service Information also facilitates information through ticket numbers, Complaint/Query details, Feedback, etc. And lastly, information is obtained through paid Ad Engagement, where here can be obtained information related to Impressions, Click-through rate, Cost per click, Conversions, etc.</w:t>
      </w:r>
    </w:p>
    <w:p w14:paraId="2434DDEB" w14:textId="77777777" w:rsidR="00EC504C" w:rsidRDefault="00EC504C" w:rsidP="00EC504C">
      <w:pPr>
        <w:pStyle w:val="ListParagraph"/>
        <w:tabs>
          <w:tab w:val="left" w:pos="284"/>
        </w:tabs>
        <w:spacing w:before="120"/>
        <w:ind w:left="0" w:firstLine="720"/>
        <w:contextualSpacing w:val="0"/>
        <w:jc w:val="both"/>
        <w:rPr>
          <w:color w:val="000000" w:themeColor="text1"/>
        </w:rPr>
      </w:pPr>
      <w:r w:rsidRPr="00FF5A2D">
        <w:rPr>
          <w:color w:val="000000" w:themeColor="text1"/>
        </w:rPr>
        <w:t xml:space="preserve">From a business perspective, Engagement Data is very beneficial for business actors. In this case, the use of customer information is able to generate “productivity and </w:t>
      </w:r>
      <w:r w:rsidRPr="00FF5A2D">
        <w:rPr>
          <w:color w:val="000000" w:themeColor="text1"/>
        </w:rPr>
        <w:lastRenderedPageBreak/>
        <w:t>profit gains that are 5 to 6 percent higher than those of the competition.”</w:t>
      </w:r>
      <w:r w:rsidRPr="009B498D">
        <w:rPr>
          <w:rStyle w:val="FootnoteReference"/>
          <w:rFonts w:eastAsiaTheme="minorEastAsia"/>
        </w:rPr>
        <w:footnoteReference w:id="65"/>
      </w:r>
    </w:p>
    <w:p w14:paraId="1B324814" w14:textId="77777777" w:rsidR="00EC504C" w:rsidRDefault="00EC504C" w:rsidP="00EC504C">
      <w:pPr>
        <w:pStyle w:val="ListParagraph"/>
        <w:numPr>
          <w:ilvl w:val="0"/>
          <w:numId w:val="12"/>
        </w:numPr>
        <w:tabs>
          <w:tab w:val="left" w:pos="284"/>
        </w:tabs>
        <w:spacing w:before="120"/>
        <w:ind w:hanging="720"/>
        <w:contextualSpacing w:val="0"/>
        <w:jc w:val="both"/>
        <w:rPr>
          <w:b/>
          <w:color w:val="000000" w:themeColor="text1"/>
        </w:rPr>
      </w:pPr>
      <w:proofErr w:type="spellStart"/>
      <w:r w:rsidRPr="00F73878">
        <w:rPr>
          <w:b/>
          <w:color w:val="000000" w:themeColor="text1"/>
        </w:rPr>
        <w:t>Behavioural</w:t>
      </w:r>
      <w:proofErr w:type="spellEnd"/>
      <w:r w:rsidRPr="00F73878">
        <w:rPr>
          <w:b/>
          <w:color w:val="000000" w:themeColor="text1"/>
        </w:rPr>
        <w:t xml:space="preserve"> Data</w:t>
      </w:r>
    </w:p>
    <w:p w14:paraId="7303FA95" w14:textId="77777777" w:rsidR="00EC504C" w:rsidRDefault="00EC504C" w:rsidP="00EC504C">
      <w:pPr>
        <w:pStyle w:val="ListParagraph"/>
        <w:tabs>
          <w:tab w:val="left" w:pos="284"/>
        </w:tabs>
        <w:spacing w:before="120"/>
        <w:ind w:left="0" w:firstLine="720"/>
        <w:contextualSpacing w:val="0"/>
        <w:jc w:val="both"/>
        <w:rPr>
          <w:color w:val="000000" w:themeColor="text1"/>
        </w:rPr>
      </w:pPr>
      <w:proofErr w:type="spellStart"/>
      <w:r>
        <w:rPr>
          <w:color w:val="000000" w:themeColor="text1"/>
        </w:rPr>
        <w:t>Behavioural</w:t>
      </w:r>
      <w:proofErr w:type="spellEnd"/>
      <w:r w:rsidRPr="00E14B6E">
        <w:rPr>
          <w:color w:val="000000" w:themeColor="text1"/>
        </w:rPr>
        <w:t xml:space="preserve"> data can be used when making decisions.</w:t>
      </w:r>
      <w:r w:rsidRPr="009B498D">
        <w:rPr>
          <w:rStyle w:val="FootnoteReference"/>
          <w:rFonts w:eastAsiaTheme="minorEastAsia"/>
        </w:rPr>
        <w:footnoteReference w:id="66"/>
      </w:r>
      <w:r>
        <w:rPr>
          <w:color w:val="000000" w:themeColor="text1"/>
        </w:rPr>
        <w:t xml:space="preserve"> </w:t>
      </w:r>
      <w:r w:rsidRPr="006F0AE2">
        <w:rPr>
          <w:color w:val="000000" w:themeColor="text1"/>
        </w:rPr>
        <w:t xml:space="preserve">This can be done considering that the data will show the basic pattern of consumer habits during transactions. This data can be used by perpetrators to decide on a personal approach </w:t>
      </w:r>
      <w:r>
        <w:rPr>
          <w:color w:val="000000" w:themeColor="text1"/>
        </w:rPr>
        <w:t>to</w:t>
      </w:r>
      <w:r w:rsidRPr="006F0AE2">
        <w:rPr>
          <w:color w:val="000000" w:themeColor="text1"/>
        </w:rPr>
        <w:t xml:space="preserve"> offering their medical services. So, emotionally, the relationship with the service provider will be more developed</w:t>
      </w:r>
      <w:r>
        <w:rPr>
          <w:color w:val="000000" w:themeColor="text1"/>
        </w:rPr>
        <w:t>.</w:t>
      </w:r>
    </w:p>
    <w:p w14:paraId="7AB125BB" w14:textId="77777777" w:rsidR="00EC504C" w:rsidRPr="009F3D93" w:rsidRDefault="00EC504C" w:rsidP="00EC504C">
      <w:pPr>
        <w:pStyle w:val="ListParagraph"/>
        <w:tabs>
          <w:tab w:val="left" w:pos="284"/>
        </w:tabs>
        <w:spacing w:before="120"/>
        <w:ind w:left="0" w:firstLine="720"/>
        <w:contextualSpacing w:val="0"/>
        <w:jc w:val="both"/>
        <w:rPr>
          <w:color w:val="000000" w:themeColor="text1"/>
        </w:rPr>
      </w:pPr>
      <w:proofErr w:type="spellStart"/>
      <w:r>
        <w:rPr>
          <w:color w:val="000000" w:themeColor="text1"/>
        </w:rPr>
        <w:t>Behavioural</w:t>
      </w:r>
      <w:proofErr w:type="spellEnd"/>
      <w:r w:rsidRPr="006F0AE2">
        <w:rPr>
          <w:color w:val="000000" w:themeColor="text1"/>
        </w:rPr>
        <w:t xml:space="preserve"> data can be obtained through Transactional Data. Specifically, this can be seen from the activities of Subscription details, Purchase details, Previous purchases, Average order value, Cart abandonment data, Average customer lifetime value, Customer loyalty program details, etc. In addition, another approach is to study product usage, which can find out consumer habits in transactions. This can be read through repeated actions, Feature usage, Feature duration, task completion, devices, etc. And finally, </w:t>
      </w:r>
      <w:proofErr w:type="spellStart"/>
      <w:r w:rsidRPr="006F0AE2">
        <w:rPr>
          <w:color w:val="000000" w:themeColor="text1"/>
        </w:rPr>
        <w:t>behavioural</w:t>
      </w:r>
      <w:proofErr w:type="spellEnd"/>
      <w:r w:rsidRPr="006F0AE2">
        <w:rPr>
          <w:color w:val="000000" w:themeColor="text1"/>
        </w:rPr>
        <w:t xml:space="preserve"> data can be obtained through qualitative data. This can be read through User attention, Heatmaps (clicks, scroll, mouse movement data), etc.</w:t>
      </w:r>
      <w:r w:rsidRPr="009B498D">
        <w:rPr>
          <w:rStyle w:val="FootnoteReference"/>
          <w:rFonts w:eastAsiaTheme="minorEastAsia"/>
        </w:rPr>
        <w:footnoteReference w:id="67"/>
      </w:r>
    </w:p>
    <w:p w14:paraId="79015DA8" w14:textId="77777777" w:rsidR="00EC504C" w:rsidRDefault="00EC504C" w:rsidP="00EC504C">
      <w:pPr>
        <w:pStyle w:val="ListParagraph"/>
        <w:numPr>
          <w:ilvl w:val="0"/>
          <w:numId w:val="12"/>
        </w:numPr>
        <w:tabs>
          <w:tab w:val="left" w:pos="284"/>
        </w:tabs>
        <w:spacing w:before="120"/>
        <w:ind w:hanging="720"/>
        <w:contextualSpacing w:val="0"/>
        <w:jc w:val="both"/>
        <w:rPr>
          <w:b/>
          <w:color w:val="000000" w:themeColor="text1"/>
        </w:rPr>
      </w:pPr>
      <w:r w:rsidRPr="00F73878">
        <w:rPr>
          <w:b/>
          <w:color w:val="000000" w:themeColor="text1"/>
        </w:rPr>
        <w:t>Attitudinal Data:</w:t>
      </w:r>
    </w:p>
    <w:p w14:paraId="4472F76F" w14:textId="77777777" w:rsidR="00EC504C" w:rsidRDefault="00EC504C" w:rsidP="00EC504C">
      <w:pPr>
        <w:tabs>
          <w:tab w:val="left" w:pos="284"/>
        </w:tabs>
        <w:spacing w:before="120"/>
        <w:ind w:firstLine="709"/>
        <w:jc w:val="both"/>
        <w:rPr>
          <w:color w:val="000000" w:themeColor="text1"/>
        </w:rPr>
      </w:pPr>
      <w:r w:rsidRPr="00AA4485">
        <w:rPr>
          <w:color w:val="000000" w:themeColor="text1"/>
        </w:rPr>
        <w:t>The last type of consumer data is Attitudinal Data. This data shows a statement of consumer attitudes both from feelings and emotions. This data is obtained through surveys, interviews, focus groups, feedback, customer complaints, reviews, etc. In practice, this data will be related to Customer satisfaction, Motivations, and challenges, Purchase criteria, etc.</w:t>
      </w:r>
    </w:p>
    <w:p w14:paraId="098B2B7A" w14:textId="77777777" w:rsidR="00EC504C" w:rsidRDefault="00EC504C" w:rsidP="00EC504C">
      <w:pPr>
        <w:tabs>
          <w:tab w:val="left" w:pos="284"/>
        </w:tabs>
        <w:spacing w:before="120"/>
        <w:ind w:firstLine="709"/>
        <w:jc w:val="both"/>
        <w:rPr>
          <w:color w:val="000000" w:themeColor="text1"/>
        </w:rPr>
      </w:pPr>
      <w:r w:rsidRPr="00DC2EB3">
        <w:rPr>
          <w:color w:val="000000" w:themeColor="text1"/>
        </w:rPr>
        <w:t>Based on the provisions stipulated in the PDP Law 2022, data types are divided into 2 (two), namely Personal Data consisting of "Personal Data of a specific nature" and "Personal Data of a general nature". If detailed, the specific data included may include health data and information; biometric data; genetic data; crime records; child data; personal financial data and/or other data in accordance with the provisions of laws and regulations. While general data, consisting of full name, gender, nationality, religion, marital status; and/or Personal Data combined to identify a person.</w:t>
      </w:r>
    </w:p>
    <w:p w14:paraId="3B0FAC1B" w14:textId="77777777" w:rsidR="00EC504C" w:rsidRDefault="00EC504C" w:rsidP="00EC504C">
      <w:pPr>
        <w:tabs>
          <w:tab w:val="left" w:pos="284"/>
        </w:tabs>
        <w:spacing w:before="120"/>
        <w:ind w:firstLine="709"/>
        <w:jc w:val="both"/>
        <w:rPr>
          <w:color w:val="000000" w:themeColor="text1"/>
        </w:rPr>
      </w:pPr>
      <w:r w:rsidRPr="00DC2EB3">
        <w:t>If you look at the data classification made by Deshpande, the authors identify that the specific data classified are Personal data that is classified as Personally identifiable information (PII) which has sensitive data. Meanwhile, Non-Personally Identifiable Information (Non-PII) data is a general type of data.</w:t>
      </w:r>
      <w:r>
        <w:rPr>
          <w:color w:val="111111"/>
          <w:spacing w:val="1"/>
          <w:shd w:val="clear" w:color="auto" w:fill="FFFFFF"/>
        </w:rPr>
        <w:t xml:space="preserve"> </w:t>
      </w:r>
      <w:r w:rsidRPr="00DC2EB3">
        <w:rPr>
          <w:color w:val="000000" w:themeColor="text1"/>
        </w:rPr>
        <w:t xml:space="preserve">In addition, according to </w:t>
      </w:r>
      <w:r w:rsidRPr="00DC2EB3">
        <w:rPr>
          <w:color w:val="000000" w:themeColor="text1"/>
        </w:rPr>
        <w:t>the author, other specific types of data are related to “behavioral data” data, where criminals can explore history showing interactions between consumers and electronic providers. This is very dangerous if this activity involves a "medical record" that can be misused by criminals related to medical services.</w:t>
      </w:r>
    </w:p>
    <w:p w14:paraId="634A57E8" w14:textId="77777777" w:rsidR="00EC504C" w:rsidRPr="003A7E9A" w:rsidRDefault="00EC504C" w:rsidP="00EC504C">
      <w:pPr>
        <w:pStyle w:val="ListParagraph"/>
        <w:numPr>
          <w:ilvl w:val="0"/>
          <w:numId w:val="14"/>
        </w:numPr>
        <w:tabs>
          <w:tab w:val="left" w:pos="284"/>
        </w:tabs>
        <w:spacing w:before="120"/>
        <w:ind w:hanging="720"/>
        <w:jc w:val="both"/>
        <w:rPr>
          <w:b/>
          <w:color w:val="222222"/>
          <w:shd w:val="clear" w:color="auto" w:fill="FFFFFF"/>
        </w:rPr>
      </w:pPr>
      <w:r w:rsidRPr="003A7E9A">
        <w:rPr>
          <w:b/>
          <w:color w:val="222222"/>
          <w:shd w:val="clear" w:color="auto" w:fill="FFFFFF"/>
        </w:rPr>
        <w:t>Threat to Personal Data in ICT Sector</w:t>
      </w:r>
    </w:p>
    <w:p w14:paraId="361B3FCA" w14:textId="77777777" w:rsidR="00EC504C" w:rsidRPr="00925032" w:rsidRDefault="00EC504C" w:rsidP="00EC504C">
      <w:pPr>
        <w:spacing w:before="120"/>
        <w:ind w:firstLine="567"/>
        <w:jc w:val="both"/>
        <w:rPr>
          <w:rStyle w:val="Emphasis"/>
          <w:rFonts w:eastAsiaTheme="majorEastAsia"/>
          <w:i w:val="0"/>
          <w:shd w:val="clear" w:color="auto" w:fill="FFFFFF"/>
        </w:rPr>
      </w:pPr>
      <w:r w:rsidRPr="00925032">
        <w:rPr>
          <w:rStyle w:val="Emphasis"/>
          <w:rFonts w:eastAsiaTheme="majorEastAsia"/>
          <w:shd w:val="clear" w:color="auto" w:fill="FFFFFF"/>
        </w:rPr>
        <w:t xml:space="preserve">The threat of data theft is very scary. The provision of data information in public areas such as newspapers, magazines, social media, mobile applications, and websites should receive attention. Providing information to the public may be a risk related to data security. It is not only electronic media but also print media that has its own risks. Case of </w:t>
      </w:r>
      <w:proofErr w:type="spellStart"/>
      <w:r w:rsidRPr="00925032">
        <w:rPr>
          <w:rStyle w:val="Emphasis"/>
          <w:rFonts w:eastAsiaTheme="majorEastAsia"/>
          <w:shd w:val="clear" w:color="auto" w:fill="FFFFFF"/>
        </w:rPr>
        <w:t>Vereniging</w:t>
      </w:r>
      <w:proofErr w:type="spellEnd"/>
      <w:r w:rsidRPr="00925032">
        <w:rPr>
          <w:rStyle w:val="Emphasis"/>
          <w:rFonts w:eastAsiaTheme="majorEastAsia"/>
          <w:shd w:val="clear" w:color="auto" w:fill="FFFFFF"/>
        </w:rPr>
        <w:t xml:space="preserve"> </w:t>
      </w:r>
      <w:proofErr w:type="spellStart"/>
      <w:r w:rsidRPr="00925032">
        <w:rPr>
          <w:rStyle w:val="Emphasis"/>
          <w:rFonts w:eastAsiaTheme="majorEastAsia"/>
          <w:shd w:val="clear" w:color="auto" w:fill="FFFFFF"/>
        </w:rPr>
        <w:t>Weekblad</w:t>
      </w:r>
      <w:proofErr w:type="spellEnd"/>
      <w:r w:rsidRPr="00925032">
        <w:rPr>
          <w:rStyle w:val="Emphasis"/>
          <w:rFonts w:eastAsiaTheme="majorEastAsia"/>
          <w:shd w:val="clear" w:color="auto" w:fill="FFFFFF"/>
        </w:rPr>
        <w:t xml:space="preserve"> </w:t>
      </w:r>
      <w:proofErr w:type="spellStart"/>
      <w:r w:rsidRPr="00925032">
        <w:rPr>
          <w:rStyle w:val="Emphasis"/>
          <w:rFonts w:eastAsiaTheme="majorEastAsia"/>
          <w:shd w:val="clear" w:color="auto" w:fill="FFFFFF"/>
        </w:rPr>
        <w:t>Bluf</w:t>
      </w:r>
      <w:proofErr w:type="spellEnd"/>
      <w:r w:rsidRPr="00925032">
        <w:rPr>
          <w:rStyle w:val="Emphasis"/>
          <w:rFonts w:eastAsiaTheme="majorEastAsia"/>
          <w:shd w:val="clear" w:color="auto" w:fill="FFFFFF"/>
        </w:rPr>
        <w:t>! v. the Netherlands,</w:t>
      </w:r>
      <w:r w:rsidRPr="009B498D">
        <w:rPr>
          <w:rStyle w:val="FootnoteReference"/>
          <w:rFonts w:eastAsiaTheme="minorEastAsia"/>
        </w:rPr>
        <w:footnoteReference w:id="68"/>
      </w:r>
      <w:r w:rsidRPr="00925032">
        <w:rPr>
          <w:rStyle w:val="Emphasis"/>
          <w:rFonts w:eastAsiaTheme="majorEastAsia"/>
          <w:shd w:val="clear" w:color="auto" w:fill="FFFFFF"/>
        </w:rPr>
        <w:t xml:space="preserve"> 9 February 1995, the case illustrates another important point. The information, in that case, had become public because of the newspaper’s own actions.</w:t>
      </w:r>
      <w:r w:rsidRPr="009B498D">
        <w:rPr>
          <w:rStyle w:val="FootnoteReference"/>
          <w:rFonts w:eastAsiaTheme="minorEastAsia"/>
        </w:rPr>
        <w:footnoteReference w:id="69"/>
      </w:r>
    </w:p>
    <w:p w14:paraId="4E6B006C" w14:textId="77777777" w:rsidR="00EC504C" w:rsidRPr="00925032" w:rsidRDefault="00EC504C" w:rsidP="00EC504C">
      <w:pPr>
        <w:spacing w:before="120"/>
        <w:ind w:firstLine="567"/>
        <w:jc w:val="both"/>
        <w:rPr>
          <w:color w:val="222222"/>
          <w:shd w:val="clear" w:color="auto" w:fill="FFFFFF"/>
        </w:rPr>
      </w:pPr>
      <w:r w:rsidRPr="00925032">
        <w:rPr>
          <w:rStyle w:val="Emphasis"/>
          <w:rFonts w:eastAsiaTheme="majorEastAsia"/>
          <w:shd w:val="clear" w:color="auto" w:fill="FFFFFF"/>
        </w:rPr>
        <w:t xml:space="preserve">The threat in cyberspace is more terrible. The ease of accessing data illegally to information technology systems owned by organizations or individuals is very vulnerable to breaking into. Thus, the security issue for an information system is the most important priority to be maintained. </w:t>
      </w:r>
      <w:r w:rsidRPr="00925032">
        <w:rPr>
          <w:color w:val="222222"/>
          <w:shd w:val="clear" w:color="auto" w:fill="FFFFFF"/>
        </w:rPr>
        <w:t xml:space="preserve">Causing this data is very easy to access which will be related to data protection. </w:t>
      </w:r>
    </w:p>
    <w:p w14:paraId="79FC197B" w14:textId="77777777" w:rsidR="00EC504C" w:rsidRPr="00925032" w:rsidRDefault="00EC504C" w:rsidP="00EC504C">
      <w:pPr>
        <w:spacing w:before="120"/>
        <w:ind w:left="567"/>
        <w:jc w:val="both"/>
        <w:rPr>
          <w:color w:val="222222"/>
          <w:shd w:val="clear" w:color="auto" w:fill="FFFFFF"/>
        </w:rPr>
      </w:pPr>
      <w:r w:rsidRPr="00925032">
        <w:rPr>
          <w:color w:val="222222"/>
          <w:shd w:val="clear" w:color="auto" w:fill="FFFFFF"/>
        </w:rPr>
        <w:t>The existence of data either through a data storage system on a computer, or in a normal filing cabinet</w:t>
      </w:r>
      <w:r w:rsidRPr="00925032">
        <w:t>,</w:t>
      </w:r>
      <w:r w:rsidRPr="009B498D">
        <w:rPr>
          <w:rStyle w:val="FootnoteReference"/>
          <w:rFonts w:eastAsiaTheme="minorEastAsia"/>
        </w:rPr>
        <w:footnoteReference w:id="70"/>
      </w:r>
      <w:r w:rsidRPr="00925032">
        <w:t xml:space="preserve"> </w:t>
      </w:r>
      <w:r w:rsidRPr="00925032">
        <w:rPr>
          <w:color w:val="222222"/>
          <w:shd w:val="clear" w:color="auto" w:fill="FFFFFF"/>
        </w:rPr>
        <w:t>or even those related to the internet must receive the highest security priority. Because, this data will be vulnerable to be used for various purposes such as business, professionalism, and other interests. Of course, it will cause data owners to be harmed both materially and immaterially.</w:t>
      </w:r>
    </w:p>
    <w:p w14:paraId="576A7340" w14:textId="77777777" w:rsidR="00EC504C" w:rsidRPr="00925032" w:rsidRDefault="00EC504C" w:rsidP="00EC504C">
      <w:pPr>
        <w:spacing w:before="120"/>
        <w:ind w:firstLine="567"/>
        <w:jc w:val="both"/>
        <w:rPr>
          <w:color w:val="222222"/>
          <w:shd w:val="clear" w:color="auto" w:fill="FFFFFF"/>
        </w:rPr>
      </w:pPr>
      <w:r w:rsidRPr="00925032">
        <w:rPr>
          <w:color w:val="222222"/>
          <w:shd w:val="clear" w:color="auto" w:fill="FFFFFF"/>
        </w:rPr>
        <w:t>In addition, developing countries should prepare good ICT infrastructure. Tragedy cases of power outages (blackout) in most parts of Indonesia on August 4-5, 2019, made all ICT-based service systems paralyzed. The public cannot take their money at an ATM and also cannot use internet-based electronic transactions that cannot be used. This is an event that gives lessons, there is a risk experienced by people who save their money based on ICT.</w:t>
      </w:r>
      <w:r w:rsidRPr="009B498D">
        <w:rPr>
          <w:rStyle w:val="FootnoteReference"/>
          <w:rFonts w:eastAsiaTheme="minorEastAsia"/>
        </w:rPr>
        <w:footnoteReference w:id="71"/>
      </w:r>
    </w:p>
    <w:p w14:paraId="29D449EC" w14:textId="77777777" w:rsidR="00EC504C" w:rsidRPr="00925032" w:rsidRDefault="00EC504C" w:rsidP="00EC504C">
      <w:pPr>
        <w:spacing w:before="120"/>
        <w:ind w:firstLine="567"/>
        <w:jc w:val="both"/>
        <w:rPr>
          <w:color w:val="222222"/>
          <w:shd w:val="clear" w:color="auto" w:fill="FFFFFF"/>
        </w:rPr>
      </w:pPr>
      <w:r w:rsidRPr="00925032">
        <w:rPr>
          <w:color w:val="222222"/>
          <w:shd w:val="clear" w:color="auto" w:fill="FFFFFF"/>
        </w:rPr>
        <w:t xml:space="preserve">The threat of personal data in cyberspace is to become the focus of the paper. In 2019, cases of illegal personal data sale and purchase violations occurred in Indonesia. Tangerang District Court handed down 9 months in prison and a fine of IDR 1 billion to Adi </w:t>
      </w:r>
      <w:proofErr w:type="spellStart"/>
      <w:r w:rsidRPr="00925032">
        <w:rPr>
          <w:color w:val="222222"/>
          <w:shd w:val="clear" w:color="auto" w:fill="FFFFFF"/>
        </w:rPr>
        <w:t>Warnadi</w:t>
      </w:r>
      <w:proofErr w:type="spellEnd"/>
      <w:r w:rsidRPr="00925032">
        <w:rPr>
          <w:color w:val="222222"/>
          <w:shd w:val="clear" w:color="auto" w:fill="FFFFFF"/>
        </w:rPr>
        <w:t xml:space="preserve"> </w:t>
      </w:r>
      <w:proofErr w:type="spellStart"/>
      <w:r w:rsidRPr="00925032">
        <w:rPr>
          <w:color w:val="222222"/>
          <w:shd w:val="clear" w:color="auto" w:fill="FFFFFF"/>
        </w:rPr>
        <w:t>Ismentin</w:t>
      </w:r>
      <w:proofErr w:type="spellEnd"/>
      <w:r w:rsidRPr="00925032">
        <w:rPr>
          <w:color w:val="222222"/>
          <w:shd w:val="clear" w:color="auto" w:fill="FFFFFF"/>
        </w:rPr>
        <w:t>.</w:t>
      </w:r>
      <w:r w:rsidRPr="009B498D">
        <w:rPr>
          <w:rStyle w:val="FootnoteReference"/>
          <w:rFonts w:eastAsiaTheme="minorEastAsia"/>
        </w:rPr>
        <w:footnoteReference w:id="72"/>
      </w:r>
      <w:r w:rsidRPr="00925032">
        <w:rPr>
          <w:color w:val="222222"/>
          <w:shd w:val="clear" w:color="auto" w:fill="FFFFFF"/>
        </w:rPr>
        <w:t xml:space="preserve"> Perpetrator was proven to have sold a customer </w:t>
      </w:r>
      <w:r w:rsidRPr="00925032">
        <w:rPr>
          <w:color w:val="222222"/>
          <w:shd w:val="clear" w:color="auto" w:fill="FFFFFF"/>
        </w:rPr>
        <w:lastRenderedPageBreak/>
        <w:t>database and was sentenced by the Information and Electronic Transactions Law (IET Law). Perpetrator collects consumer data from the domain site www.database.org. Customer data from various banks, including name, telephone number, address, date of birth, card number, and card type.</w:t>
      </w:r>
    </w:p>
    <w:p w14:paraId="5024BD3F" w14:textId="77777777" w:rsidR="00EC504C" w:rsidRPr="00925032" w:rsidRDefault="00EC504C" w:rsidP="00EC504C">
      <w:pPr>
        <w:tabs>
          <w:tab w:val="left" w:pos="284"/>
        </w:tabs>
        <w:spacing w:before="120"/>
        <w:ind w:firstLine="567"/>
        <w:jc w:val="both"/>
        <w:rPr>
          <w:color w:val="222222"/>
          <w:shd w:val="clear" w:color="auto" w:fill="FFFFFF"/>
        </w:rPr>
      </w:pPr>
      <w:r w:rsidRPr="00925032">
        <w:rPr>
          <w:color w:val="222222"/>
          <w:shd w:val="clear" w:color="auto" w:fill="FFFFFF"/>
        </w:rPr>
        <w:t xml:space="preserve">The price per CD is sold from IDR 500 thousand to IDR 3 million. Within a year, the perpetrators can get profit from around IDR 60 million more. In this case, the Tribunal states that the perpetrators have intentionally and without right or violated the law to transfer electronic information and/or electronic documents to the electronic systems of other people who are not entitled. That violates Article 48 paragraph 2 </w:t>
      </w:r>
      <w:proofErr w:type="spellStart"/>
      <w:r w:rsidRPr="00925032">
        <w:rPr>
          <w:i/>
          <w:color w:val="222222"/>
          <w:shd w:val="clear" w:color="auto" w:fill="FFFFFF"/>
        </w:rPr>
        <w:t>juncto</w:t>
      </w:r>
      <w:proofErr w:type="spellEnd"/>
      <w:r w:rsidRPr="00925032">
        <w:rPr>
          <w:color w:val="222222"/>
          <w:shd w:val="clear" w:color="auto" w:fill="FFFFFF"/>
        </w:rPr>
        <w:t xml:space="preserve"> Article 32 paragraph 2 of the IET Law.</w:t>
      </w:r>
      <w:r w:rsidRPr="009B498D">
        <w:rPr>
          <w:rStyle w:val="FootnoteReference"/>
          <w:rFonts w:eastAsiaTheme="minorEastAsia"/>
        </w:rPr>
        <w:footnoteReference w:id="73"/>
      </w:r>
    </w:p>
    <w:p w14:paraId="2C7D03E9" w14:textId="77777777" w:rsidR="00EC504C" w:rsidRDefault="00EC504C" w:rsidP="00EC504C">
      <w:pPr>
        <w:tabs>
          <w:tab w:val="left" w:pos="284"/>
        </w:tabs>
        <w:spacing w:before="120"/>
        <w:ind w:firstLine="567"/>
        <w:jc w:val="both"/>
        <w:rPr>
          <w:color w:val="222222"/>
          <w:sz w:val="24"/>
          <w:szCs w:val="24"/>
          <w:shd w:val="clear" w:color="auto" w:fill="FFFFFF"/>
        </w:rPr>
      </w:pPr>
      <w:r w:rsidRPr="00925032">
        <w:rPr>
          <w:color w:val="222222"/>
          <w:shd w:val="clear" w:color="auto" w:fill="FFFFFF"/>
        </w:rPr>
        <w:t>The above case is an example of the importance of providing data protection for consumers’ personal data. According to GDPR, the definition of ‘personal data’ is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Here, personal data relating to the financial sector is a part of personal data.</w:t>
      </w:r>
      <w:r>
        <w:rPr>
          <w:color w:val="222222"/>
          <w:sz w:val="24"/>
          <w:szCs w:val="24"/>
          <w:shd w:val="clear" w:color="auto" w:fill="FFFFFF"/>
        </w:rPr>
        <w:t xml:space="preserve">  </w:t>
      </w:r>
    </w:p>
    <w:p w14:paraId="530BDC4F" w14:textId="77777777" w:rsidR="00EC504C" w:rsidRPr="00925032" w:rsidRDefault="00EC504C" w:rsidP="00EC504C">
      <w:pPr>
        <w:pStyle w:val="ListParagraph"/>
        <w:numPr>
          <w:ilvl w:val="0"/>
          <w:numId w:val="13"/>
        </w:numPr>
        <w:tabs>
          <w:tab w:val="left" w:pos="284"/>
        </w:tabs>
        <w:spacing w:before="120"/>
        <w:ind w:hanging="644"/>
        <w:contextualSpacing w:val="0"/>
        <w:jc w:val="both"/>
        <w:rPr>
          <w:b/>
          <w:color w:val="222222"/>
          <w:shd w:val="clear" w:color="auto" w:fill="FFFFFF"/>
        </w:rPr>
      </w:pPr>
      <w:r w:rsidRPr="00925032">
        <w:rPr>
          <w:b/>
          <w:color w:val="222222"/>
          <w:shd w:val="clear" w:color="auto" w:fill="FFFFFF"/>
        </w:rPr>
        <w:t>Threat of Data Breach</w:t>
      </w:r>
    </w:p>
    <w:p w14:paraId="090F944D" w14:textId="77777777" w:rsidR="00EC504C" w:rsidRPr="00925032" w:rsidRDefault="00EC504C" w:rsidP="00EC504C">
      <w:pPr>
        <w:tabs>
          <w:tab w:val="left" w:pos="284"/>
        </w:tabs>
        <w:spacing w:before="120"/>
        <w:ind w:firstLine="567"/>
        <w:jc w:val="both"/>
        <w:rPr>
          <w:bCs/>
          <w:color w:val="222222"/>
          <w:shd w:val="clear" w:color="auto" w:fill="FFFFFF"/>
        </w:rPr>
      </w:pPr>
      <w:r w:rsidRPr="00925032">
        <w:rPr>
          <w:bCs/>
          <w:color w:val="222222"/>
          <w:shd w:val="clear" w:color="auto" w:fill="FFFFFF"/>
        </w:rPr>
        <w:t xml:space="preserve">In the concept of consumer data protection, </w:t>
      </w:r>
      <w:proofErr w:type="spellStart"/>
      <w:r w:rsidRPr="0016737C">
        <w:rPr>
          <w:color w:val="000000" w:themeColor="text1"/>
        </w:rPr>
        <w:t>Permen</w:t>
      </w:r>
      <w:proofErr w:type="spellEnd"/>
      <w:r w:rsidRPr="0016737C">
        <w:rPr>
          <w:color w:val="000000" w:themeColor="text1"/>
        </w:rPr>
        <w:t xml:space="preserve"> Data Protection</w:t>
      </w:r>
      <w:r w:rsidRPr="00925032">
        <w:rPr>
          <w:bCs/>
          <w:color w:val="222222"/>
          <w:shd w:val="clear" w:color="auto" w:fill="FFFFFF"/>
        </w:rPr>
        <w:t xml:space="preserve">. </w:t>
      </w:r>
      <w:r>
        <w:rPr>
          <w:bCs/>
          <w:color w:val="222222"/>
          <w:shd w:val="clear" w:color="auto" w:fill="FFFFFF"/>
        </w:rPr>
        <w:t>It h</w:t>
      </w:r>
      <w:r w:rsidRPr="00925032">
        <w:rPr>
          <w:bCs/>
          <w:color w:val="222222"/>
          <w:shd w:val="clear" w:color="auto" w:fill="FFFFFF"/>
        </w:rPr>
        <w:t>as regulated "The Right to be Kept Confidential" and "The Right to Erasure". The two principles as described previously, provide data protection efforts, especially for organizations that provide electronic services. In the author's opinion, these principles include the following matters:</w:t>
      </w:r>
    </w:p>
    <w:p w14:paraId="35B8FA08" w14:textId="77777777" w:rsidR="00EC504C" w:rsidRPr="00925032" w:rsidRDefault="00EC504C" w:rsidP="00EC504C">
      <w:pPr>
        <w:tabs>
          <w:tab w:val="left" w:pos="284"/>
        </w:tabs>
        <w:spacing w:before="120"/>
        <w:ind w:left="284" w:hanging="284"/>
        <w:jc w:val="both"/>
        <w:rPr>
          <w:bCs/>
          <w:color w:val="222222"/>
          <w:shd w:val="clear" w:color="auto" w:fill="FFFFFF"/>
        </w:rPr>
      </w:pPr>
      <w:r w:rsidRPr="00925032">
        <w:rPr>
          <w:bCs/>
          <w:color w:val="222222"/>
          <w:shd w:val="clear" w:color="auto" w:fill="FFFFFF"/>
        </w:rPr>
        <w:t>1. Granting the right to maintain the confidentiality of consumer data so as not to leak to other parties;</w:t>
      </w:r>
    </w:p>
    <w:p w14:paraId="145CD741" w14:textId="77777777" w:rsidR="00EC504C" w:rsidRPr="00925032" w:rsidRDefault="00EC504C" w:rsidP="00EC504C">
      <w:pPr>
        <w:tabs>
          <w:tab w:val="left" w:pos="284"/>
        </w:tabs>
        <w:ind w:left="284" w:hanging="284"/>
        <w:jc w:val="both"/>
        <w:rPr>
          <w:bCs/>
          <w:color w:val="222222"/>
          <w:shd w:val="clear" w:color="auto" w:fill="FFFFFF"/>
        </w:rPr>
      </w:pPr>
      <w:r w:rsidRPr="00925032">
        <w:rPr>
          <w:bCs/>
          <w:color w:val="222222"/>
          <w:shd w:val="clear" w:color="auto" w:fill="FFFFFF"/>
        </w:rPr>
        <w:t>2. Granting the right to delete the data if it is no longer related to the services provided;</w:t>
      </w:r>
    </w:p>
    <w:p w14:paraId="48BAA3FE" w14:textId="77777777" w:rsidR="00EC504C" w:rsidRPr="00925032" w:rsidRDefault="00EC504C" w:rsidP="00EC504C">
      <w:pPr>
        <w:tabs>
          <w:tab w:val="left" w:pos="284"/>
        </w:tabs>
        <w:ind w:left="284" w:hanging="284"/>
        <w:jc w:val="both"/>
        <w:rPr>
          <w:bCs/>
          <w:color w:val="222222"/>
          <w:shd w:val="clear" w:color="auto" w:fill="FFFFFF"/>
        </w:rPr>
      </w:pPr>
      <w:r w:rsidRPr="00925032">
        <w:rPr>
          <w:bCs/>
          <w:color w:val="222222"/>
          <w:shd w:val="clear" w:color="auto" w:fill="FFFFFF"/>
        </w:rPr>
        <w:t>3. Granting rights to an adequate security system to avoid illegal access by other parties.</w:t>
      </w:r>
    </w:p>
    <w:p w14:paraId="3B3216C6" w14:textId="77777777" w:rsidR="00EC504C" w:rsidRPr="00925032" w:rsidRDefault="00EC504C" w:rsidP="00EC504C">
      <w:pPr>
        <w:tabs>
          <w:tab w:val="left" w:pos="284"/>
        </w:tabs>
        <w:ind w:left="284" w:hanging="284"/>
        <w:jc w:val="both"/>
        <w:rPr>
          <w:bCs/>
          <w:color w:val="222222"/>
          <w:shd w:val="clear" w:color="auto" w:fill="FFFFFF"/>
        </w:rPr>
      </w:pPr>
      <w:r w:rsidRPr="00925032">
        <w:rPr>
          <w:bCs/>
          <w:color w:val="222222"/>
          <w:shd w:val="clear" w:color="auto" w:fill="FFFFFF"/>
        </w:rPr>
        <w:t>4. Granting the right to the integrity of the data that has been inputted, processed, and stored.</w:t>
      </w:r>
    </w:p>
    <w:p w14:paraId="0BA0790F" w14:textId="77777777" w:rsidR="00EC504C" w:rsidRPr="00925032" w:rsidRDefault="00EC504C" w:rsidP="00EC504C">
      <w:pPr>
        <w:tabs>
          <w:tab w:val="left" w:pos="284"/>
        </w:tabs>
        <w:ind w:left="284" w:hanging="284"/>
        <w:jc w:val="both"/>
        <w:rPr>
          <w:bCs/>
          <w:color w:val="222222"/>
          <w:shd w:val="clear" w:color="auto" w:fill="FFFFFF"/>
        </w:rPr>
      </w:pPr>
      <w:r w:rsidRPr="00925032">
        <w:rPr>
          <w:bCs/>
          <w:color w:val="222222"/>
          <w:shd w:val="clear" w:color="auto" w:fill="FFFFFF"/>
        </w:rPr>
        <w:t>5. Granting the right to provide education to consumers to always keep secret codes such as “username” and password”.</w:t>
      </w:r>
    </w:p>
    <w:p w14:paraId="2650E0BC" w14:textId="77777777" w:rsidR="00EC504C" w:rsidRDefault="00EC504C" w:rsidP="00EC504C">
      <w:pPr>
        <w:tabs>
          <w:tab w:val="left" w:pos="284"/>
        </w:tabs>
        <w:spacing w:before="120"/>
        <w:ind w:firstLine="567"/>
        <w:jc w:val="both"/>
        <w:rPr>
          <w:bCs/>
          <w:color w:val="222222"/>
          <w:sz w:val="24"/>
          <w:szCs w:val="24"/>
          <w:shd w:val="clear" w:color="auto" w:fill="FFFFFF"/>
        </w:rPr>
      </w:pPr>
      <w:r w:rsidRPr="00925032">
        <w:rPr>
          <w:bCs/>
          <w:color w:val="222222"/>
          <w:shd w:val="clear" w:color="auto" w:fill="FFFFFF"/>
        </w:rPr>
        <w:t>In theory, data breaches are defined as unauthorized or unintentional disclosures by organizations that result in the loss of customers’ personally identifiable information (PII), such as social security numbers (SSN) and credit card information.</w:t>
      </w:r>
      <w:r w:rsidRPr="009B498D">
        <w:rPr>
          <w:rStyle w:val="FootnoteReference"/>
          <w:rFonts w:eastAsiaTheme="minorEastAsia"/>
        </w:rPr>
        <w:footnoteReference w:id="74"/>
      </w:r>
      <w:r w:rsidRPr="00925032">
        <w:rPr>
          <w:bCs/>
          <w:color w:val="222222"/>
          <w:shd w:val="clear" w:color="auto" w:fill="FFFFFF"/>
        </w:rPr>
        <w:t xml:space="preserve"> Organizations that provide services are "trustees" to maintain personal data, especially in the field of E-Health.</w:t>
      </w:r>
      <w:r w:rsidRPr="00016749">
        <w:rPr>
          <w:bCs/>
          <w:color w:val="222222"/>
          <w:sz w:val="24"/>
          <w:szCs w:val="24"/>
          <w:shd w:val="clear" w:color="auto" w:fill="FFFFFF"/>
        </w:rPr>
        <w:t xml:space="preserve"> </w:t>
      </w:r>
    </w:p>
    <w:p w14:paraId="07CA4D30" w14:textId="77777777" w:rsidR="00EC504C" w:rsidRPr="00925032" w:rsidRDefault="00EC504C" w:rsidP="00EC504C">
      <w:pPr>
        <w:tabs>
          <w:tab w:val="left" w:pos="284"/>
        </w:tabs>
        <w:spacing w:before="120"/>
        <w:ind w:firstLine="567"/>
        <w:jc w:val="both"/>
        <w:rPr>
          <w:bCs/>
          <w:color w:val="222222"/>
          <w:shd w:val="clear" w:color="auto" w:fill="FFFFFF"/>
        </w:rPr>
      </w:pPr>
      <w:r w:rsidRPr="00925032">
        <w:rPr>
          <w:bCs/>
          <w:color w:val="222222"/>
          <w:shd w:val="clear" w:color="auto" w:fill="FFFFFF"/>
        </w:rPr>
        <w:t xml:space="preserve">This is what the author is concerned with at the first risk, in using this E-Heath service. </w:t>
      </w:r>
      <w:r w:rsidRPr="00925032">
        <w:t xml:space="preserve">These databases and electronic devices are vulnerable to attacks by hackers who could gain access to millions of </w:t>
      </w:r>
      <w:proofErr w:type="gramStart"/>
      <w:r w:rsidRPr="00925032">
        <w:t>people‘</w:t>
      </w:r>
      <w:proofErr w:type="gramEnd"/>
      <w:r w:rsidRPr="00925032">
        <w:t>s personal information and sell them to the highest bidder. Data security breaches could lead to identity theft.</w:t>
      </w:r>
      <w:r w:rsidRPr="009B498D">
        <w:rPr>
          <w:rStyle w:val="FootnoteReference"/>
          <w:rFonts w:eastAsiaTheme="minorEastAsia"/>
        </w:rPr>
        <w:footnoteReference w:id="75"/>
      </w:r>
      <w:r w:rsidRPr="00925032">
        <w:rPr>
          <w:b/>
          <w:color w:val="222222"/>
          <w:shd w:val="clear" w:color="auto" w:fill="FFFFFF"/>
        </w:rPr>
        <w:t xml:space="preserve"> </w:t>
      </w:r>
      <w:r w:rsidRPr="00925032">
        <w:rPr>
          <w:bCs/>
          <w:color w:val="222222"/>
          <w:shd w:val="clear" w:color="auto" w:fill="FFFFFF"/>
        </w:rPr>
        <w:t>Data breaches compromise consumer privacy and have a significant negative impact on a decision regarding patient privacy in E-Health services.</w:t>
      </w:r>
    </w:p>
    <w:p w14:paraId="76FFE973" w14:textId="77777777" w:rsidR="00EC504C" w:rsidRPr="00925032" w:rsidRDefault="00EC504C" w:rsidP="00EC504C">
      <w:pPr>
        <w:tabs>
          <w:tab w:val="left" w:pos="284"/>
        </w:tabs>
        <w:spacing w:before="120"/>
        <w:ind w:firstLine="567"/>
        <w:jc w:val="both"/>
        <w:rPr>
          <w:bCs/>
          <w:color w:val="222222"/>
          <w:shd w:val="clear" w:color="auto" w:fill="FFFFFF"/>
        </w:rPr>
      </w:pPr>
      <w:r w:rsidRPr="00925032">
        <w:rPr>
          <w:bCs/>
          <w:color w:val="222222"/>
          <w:shd w:val="clear" w:color="auto" w:fill="FFFFFF"/>
        </w:rPr>
        <w:t xml:space="preserve">As quoted by Shankar, Nithya, and Mohammed, </w:t>
      </w:r>
      <w:proofErr w:type="spellStart"/>
      <w:r w:rsidRPr="00925032">
        <w:rPr>
          <w:bCs/>
          <w:color w:val="222222"/>
          <w:shd w:val="clear" w:color="auto" w:fill="FFFFFF"/>
        </w:rPr>
        <w:t>Zareef</w:t>
      </w:r>
      <w:proofErr w:type="spellEnd"/>
      <w:r w:rsidRPr="009B498D">
        <w:rPr>
          <w:rStyle w:val="FootnoteReference"/>
          <w:rFonts w:eastAsiaTheme="minorEastAsia"/>
        </w:rPr>
        <w:footnoteReference w:id="76"/>
      </w:r>
      <w:r w:rsidRPr="00925032">
        <w:rPr>
          <w:bCs/>
          <w:color w:val="222222"/>
          <w:shd w:val="clear" w:color="auto" w:fill="FFFFFF"/>
        </w:rPr>
        <w:t xml:space="preserve"> that </w:t>
      </w:r>
      <w:proofErr w:type="spellStart"/>
      <w:r w:rsidRPr="00925032">
        <w:rPr>
          <w:bCs/>
          <w:color w:val="222222"/>
          <w:shd w:val="clear" w:color="auto" w:fill="FFFFFF"/>
        </w:rPr>
        <w:t>Culnan</w:t>
      </w:r>
      <w:proofErr w:type="spellEnd"/>
      <w:r w:rsidRPr="00925032">
        <w:rPr>
          <w:bCs/>
          <w:color w:val="222222"/>
          <w:shd w:val="clear" w:color="auto" w:fill="FFFFFF"/>
        </w:rPr>
        <w:t xml:space="preserve"> and Williams (2009) view data breaches as a privacy problem and provide suggestions that at an organizational level, firms should create a culture of privacy and implement rigid governance processes in order to ensure that these data breaches do not happen in the future.</w:t>
      </w:r>
      <w:r w:rsidRPr="009B498D">
        <w:rPr>
          <w:rStyle w:val="FootnoteReference"/>
          <w:rFonts w:eastAsiaTheme="minorEastAsia"/>
        </w:rPr>
        <w:footnoteReference w:id="77"/>
      </w:r>
      <w:r w:rsidRPr="00925032">
        <w:rPr>
          <w:bCs/>
          <w:color w:val="222222"/>
          <w:shd w:val="clear" w:color="auto" w:fill="FFFFFF"/>
        </w:rPr>
        <w:t xml:space="preserve"> </w:t>
      </w:r>
    </w:p>
    <w:p w14:paraId="52ABD7C3" w14:textId="77777777" w:rsidR="00EC504C" w:rsidRPr="00925032" w:rsidRDefault="00EC504C" w:rsidP="00EC504C">
      <w:pPr>
        <w:tabs>
          <w:tab w:val="left" w:pos="284"/>
        </w:tabs>
        <w:spacing w:before="120"/>
        <w:ind w:firstLine="567"/>
        <w:jc w:val="both"/>
        <w:rPr>
          <w:bCs/>
          <w:color w:val="222222"/>
          <w:shd w:val="clear" w:color="auto" w:fill="FFFFFF"/>
        </w:rPr>
      </w:pPr>
      <w:r w:rsidRPr="00925032">
        <w:rPr>
          <w:bCs/>
          <w:color w:val="222222"/>
          <w:shd w:val="clear" w:color="auto" w:fill="FFFFFF"/>
        </w:rPr>
        <w:t>This case can happen to even bona fide organizations, such as Yahoo. Where in 2016, Yahoo confirmed that at least 500 million user accounts have been exposed.</w:t>
      </w:r>
      <w:r w:rsidRPr="009B498D">
        <w:rPr>
          <w:rStyle w:val="FootnoteReference"/>
          <w:rFonts w:eastAsiaTheme="minorEastAsia"/>
        </w:rPr>
        <w:footnoteReference w:id="78"/>
      </w:r>
      <w:r w:rsidRPr="00925032">
        <w:rPr>
          <w:bCs/>
          <w:color w:val="222222"/>
          <w:shd w:val="clear" w:color="auto" w:fill="FFFFFF"/>
        </w:rPr>
        <w:t xml:space="preserve"> In this case, according to Trautman and Ormerod (2017), The organization failed to pursue investigations, which was a result of poor management capabilities.</w:t>
      </w:r>
      <w:r w:rsidRPr="009B498D">
        <w:rPr>
          <w:rStyle w:val="FootnoteReference"/>
          <w:rFonts w:eastAsiaTheme="minorEastAsia"/>
        </w:rPr>
        <w:footnoteReference w:id="79"/>
      </w:r>
      <w:r w:rsidRPr="00925032">
        <w:rPr>
          <w:bCs/>
          <w:color w:val="222222"/>
          <w:shd w:val="clear" w:color="auto" w:fill="FFFFFF"/>
        </w:rPr>
        <w:t xml:space="preserve"> </w:t>
      </w:r>
    </w:p>
    <w:p w14:paraId="25813EC4" w14:textId="77777777" w:rsidR="00EC504C" w:rsidRPr="00925032" w:rsidRDefault="00EC504C" w:rsidP="00EC504C">
      <w:pPr>
        <w:tabs>
          <w:tab w:val="left" w:pos="284"/>
        </w:tabs>
        <w:spacing w:before="120"/>
        <w:ind w:firstLine="567"/>
        <w:jc w:val="both"/>
        <w:rPr>
          <w:bCs/>
          <w:color w:val="222222"/>
          <w:shd w:val="clear" w:color="auto" w:fill="FFFFFF"/>
        </w:rPr>
      </w:pPr>
      <w:r w:rsidRPr="00925032">
        <w:rPr>
          <w:bCs/>
          <w:color w:val="222222"/>
          <w:shd w:val="clear" w:color="auto" w:fill="FFFFFF"/>
        </w:rPr>
        <w:t>In this case, the authors identify the reasons organizations can experience data breaches, which are caused as follows:</w:t>
      </w:r>
    </w:p>
    <w:p w14:paraId="6A51A065" w14:textId="77777777" w:rsidR="00EC504C" w:rsidRPr="002C74B7" w:rsidRDefault="00EC504C" w:rsidP="00EC504C">
      <w:pPr>
        <w:pStyle w:val="ListParagraph"/>
        <w:numPr>
          <w:ilvl w:val="0"/>
          <w:numId w:val="19"/>
        </w:numPr>
        <w:tabs>
          <w:tab w:val="left" w:pos="284"/>
        </w:tabs>
        <w:spacing w:before="120"/>
        <w:ind w:hanging="1080"/>
        <w:jc w:val="both"/>
        <w:rPr>
          <w:b/>
          <w:color w:val="222222"/>
        </w:rPr>
      </w:pPr>
      <w:r w:rsidRPr="002C74B7">
        <w:rPr>
          <w:b/>
          <w:color w:val="222222"/>
        </w:rPr>
        <w:t>Employee Error</w:t>
      </w:r>
    </w:p>
    <w:p w14:paraId="58832F90" w14:textId="77777777" w:rsidR="00EC504C" w:rsidRDefault="00EC504C" w:rsidP="00EC504C">
      <w:pPr>
        <w:tabs>
          <w:tab w:val="left" w:pos="284"/>
        </w:tabs>
        <w:spacing w:before="120"/>
        <w:ind w:firstLine="426"/>
        <w:jc w:val="both"/>
        <w:rPr>
          <w:color w:val="222222"/>
        </w:rPr>
      </w:pPr>
      <w:r w:rsidRPr="00475B9D">
        <w:rPr>
          <w:color w:val="222222"/>
        </w:rPr>
        <w:t>According to Verizon's 2022 Data breaches Investigations Report, 82% of data breaches involved a human element.</w:t>
      </w:r>
      <w:r w:rsidRPr="009B498D">
        <w:rPr>
          <w:rStyle w:val="FootnoteReference"/>
          <w:rFonts w:eastAsiaTheme="minorEastAsia"/>
        </w:rPr>
        <w:footnoteReference w:id="80"/>
      </w:r>
      <w:r w:rsidRPr="00475B9D">
        <w:rPr>
          <w:color w:val="222222"/>
        </w:rPr>
        <w:t xml:space="preserve"> </w:t>
      </w:r>
      <w:r>
        <w:rPr>
          <w:color w:val="222222"/>
        </w:rPr>
        <w:t>Here, h</w:t>
      </w:r>
      <w:r w:rsidRPr="00475B9D">
        <w:rPr>
          <w:color w:val="222222"/>
        </w:rPr>
        <w:t xml:space="preserve">uman error is one of the biggest security threats that </w:t>
      </w:r>
      <w:r>
        <w:rPr>
          <w:color w:val="222222"/>
        </w:rPr>
        <w:t>organizations</w:t>
      </w:r>
      <w:r w:rsidRPr="00475B9D">
        <w:rPr>
          <w:color w:val="222222"/>
        </w:rPr>
        <w:t xml:space="preserve"> face</w:t>
      </w:r>
      <w:r>
        <w:rPr>
          <w:color w:val="222222"/>
        </w:rPr>
        <w:t>.</w:t>
      </w:r>
      <w:r w:rsidRPr="009B498D">
        <w:rPr>
          <w:rStyle w:val="FootnoteReference"/>
          <w:rFonts w:eastAsiaTheme="minorEastAsia"/>
        </w:rPr>
        <w:footnoteReference w:id="81"/>
      </w:r>
      <w:r>
        <w:rPr>
          <w:color w:val="222222"/>
        </w:rPr>
        <w:t xml:space="preserve"> </w:t>
      </w:r>
      <w:r w:rsidRPr="00475B9D">
        <w:rPr>
          <w:color w:val="222222"/>
        </w:rPr>
        <w:t xml:space="preserve">This includes incidents in which employees expose information directly </w:t>
      </w:r>
      <w:r w:rsidRPr="00475B9D">
        <w:rPr>
          <w:color w:val="222222"/>
        </w:rPr>
        <w:lastRenderedPageBreak/>
        <w:t>(for example, by misconfiguring databases) or by making a mistake that enables cyber criminals to access the organization's systems.</w:t>
      </w:r>
      <w:r w:rsidRPr="009B498D">
        <w:rPr>
          <w:rStyle w:val="FootnoteReference"/>
          <w:rFonts w:eastAsiaTheme="minorEastAsia"/>
        </w:rPr>
        <w:footnoteReference w:id="82"/>
      </w:r>
      <w:r>
        <w:rPr>
          <w:color w:val="222222"/>
        </w:rPr>
        <w:t xml:space="preserve"> </w:t>
      </w:r>
    </w:p>
    <w:p w14:paraId="3BC47E3B" w14:textId="77777777" w:rsidR="00EC504C" w:rsidRPr="002400C5" w:rsidRDefault="00EC504C" w:rsidP="00EC504C">
      <w:pPr>
        <w:tabs>
          <w:tab w:val="left" w:pos="284"/>
        </w:tabs>
        <w:spacing w:before="120"/>
        <w:ind w:firstLine="426"/>
        <w:jc w:val="both"/>
        <w:rPr>
          <w:color w:val="222222"/>
        </w:rPr>
      </w:pPr>
      <w:r w:rsidRPr="002400C5">
        <w:rPr>
          <w:color w:val="222222"/>
        </w:rPr>
        <w:t>Employees still make mistakes that may lead to data breaches, cause of follows:</w:t>
      </w:r>
      <w:r w:rsidRPr="009B498D">
        <w:rPr>
          <w:rStyle w:val="FootnoteReference"/>
          <w:rFonts w:eastAsiaTheme="minorEastAsia"/>
        </w:rPr>
        <w:footnoteReference w:id="83"/>
      </w:r>
    </w:p>
    <w:p w14:paraId="7C2B6BE1" w14:textId="77777777" w:rsidR="00EC504C" w:rsidRPr="002400C5" w:rsidRDefault="00EC504C" w:rsidP="00EC504C">
      <w:pPr>
        <w:tabs>
          <w:tab w:val="left" w:pos="284"/>
        </w:tabs>
        <w:spacing w:before="120"/>
        <w:jc w:val="both"/>
        <w:rPr>
          <w:color w:val="222222"/>
        </w:rPr>
      </w:pPr>
      <w:r w:rsidRPr="002400C5">
        <w:rPr>
          <w:color w:val="222222"/>
        </w:rPr>
        <w:t>1. Sending valuable data to incorrect recipients via email</w:t>
      </w:r>
    </w:p>
    <w:p w14:paraId="28D69DC3" w14:textId="77777777" w:rsidR="00EC504C" w:rsidRPr="002400C5" w:rsidRDefault="00EC504C" w:rsidP="00EC504C">
      <w:pPr>
        <w:tabs>
          <w:tab w:val="left" w:pos="284"/>
        </w:tabs>
        <w:jc w:val="both"/>
        <w:rPr>
          <w:color w:val="222222"/>
        </w:rPr>
      </w:pPr>
      <w:r w:rsidRPr="002400C5">
        <w:rPr>
          <w:color w:val="222222"/>
        </w:rPr>
        <w:t>2. Accidentally emailing documents with sensitive data</w:t>
      </w:r>
    </w:p>
    <w:p w14:paraId="4C6F019A" w14:textId="77777777" w:rsidR="00EC504C" w:rsidRPr="002400C5" w:rsidRDefault="00EC504C" w:rsidP="00EC504C">
      <w:pPr>
        <w:tabs>
          <w:tab w:val="left" w:pos="284"/>
        </w:tabs>
        <w:jc w:val="both"/>
        <w:rPr>
          <w:color w:val="222222"/>
        </w:rPr>
      </w:pPr>
      <w:r w:rsidRPr="002400C5">
        <w:rPr>
          <w:color w:val="222222"/>
        </w:rPr>
        <w:t>3. Publishing confidential data on public websites by mistake</w:t>
      </w:r>
    </w:p>
    <w:p w14:paraId="599D60E3" w14:textId="77777777" w:rsidR="00EC504C" w:rsidRDefault="00EC504C" w:rsidP="00EC504C">
      <w:pPr>
        <w:tabs>
          <w:tab w:val="left" w:pos="284"/>
        </w:tabs>
        <w:jc w:val="both"/>
        <w:rPr>
          <w:color w:val="222222"/>
        </w:rPr>
      </w:pPr>
      <w:r w:rsidRPr="002400C5">
        <w:rPr>
          <w:color w:val="222222"/>
        </w:rPr>
        <w:t>4. Misconfiguring assets to allow for unwanted access</w:t>
      </w:r>
    </w:p>
    <w:p w14:paraId="059ACC8B" w14:textId="77777777" w:rsidR="00EC504C" w:rsidRDefault="00EC504C" w:rsidP="00EC504C">
      <w:pPr>
        <w:tabs>
          <w:tab w:val="left" w:pos="284"/>
        </w:tabs>
        <w:spacing w:before="120"/>
        <w:ind w:firstLine="426"/>
        <w:jc w:val="both"/>
        <w:rPr>
          <w:color w:val="222222"/>
        </w:rPr>
      </w:pPr>
      <w:r w:rsidRPr="005D6F7A">
        <w:rPr>
          <w:color w:val="222222"/>
        </w:rPr>
        <w:t>This problem is a concern for an organization. Employees who have the responsibility to protect consumer data must really have high integrity not to leak consumer data either intentionally or unintentionally, thus causing harm to consumers, both material and immaterial.</w:t>
      </w:r>
      <w:r>
        <w:rPr>
          <w:color w:val="222222"/>
        </w:rPr>
        <w:t xml:space="preserve"> </w:t>
      </w:r>
      <w:r w:rsidRPr="009522E0">
        <w:rPr>
          <w:color w:val="222222"/>
        </w:rPr>
        <w:t>This has been regulated in Article 3 of the ITE Law that the use of Information Technology is carried out based on one of them by applying the "prudence principle". And another important principle in the use of information technology is also "good faith".</w:t>
      </w:r>
    </w:p>
    <w:p w14:paraId="1EA5AF70" w14:textId="77777777" w:rsidR="00EC504C" w:rsidRPr="0066723E" w:rsidRDefault="00EC504C" w:rsidP="00EC504C">
      <w:pPr>
        <w:pStyle w:val="ListParagraph"/>
        <w:numPr>
          <w:ilvl w:val="0"/>
          <w:numId w:val="19"/>
        </w:numPr>
        <w:tabs>
          <w:tab w:val="left" w:pos="284"/>
        </w:tabs>
        <w:spacing w:before="120"/>
        <w:ind w:hanging="1080"/>
        <w:jc w:val="both"/>
        <w:rPr>
          <w:b/>
          <w:bCs/>
          <w:color w:val="222222"/>
        </w:rPr>
      </w:pPr>
      <w:r w:rsidRPr="0066723E">
        <w:rPr>
          <w:b/>
          <w:bCs/>
          <w:color w:val="222222"/>
        </w:rPr>
        <w:t>Social Engineering</w:t>
      </w:r>
    </w:p>
    <w:p w14:paraId="55482557" w14:textId="77777777" w:rsidR="00EC504C" w:rsidRDefault="00EC504C" w:rsidP="00EC504C">
      <w:pPr>
        <w:tabs>
          <w:tab w:val="left" w:pos="284"/>
        </w:tabs>
        <w:spacing w:before="120"/>
        <w:ind w:firstLine="567"/>
        <w:jc w:val="both"/>
      </w:pPr>
      <w:r w:rsidRPr="00021721">
        <w:rPr>
          <w:color w:val="222222"/>
        </w:rPr>
        <w:t xml:space="preserve">According to the U.S. Department of Justice, quoted by Fatima </w:t>
      </w:r>
      <w:proofErr w:type="spellStart"/>
      <w:r w:rsidRPr="00021721">
        <w:rPr>
          <w:color w:val="222222"/>
        </w:rPr>
        <w:t>Salahdine</w:t>
      </w:r>
      <w:proofErr w:type="spellEnd"/>
      <w:r w:rsidRPr="00021721">
        <w:rPr>
          <w:color w:val="222222"/>
        </w:rPr>
        <w:t xml:space="preserve">, and Naima </w:t>
      </w:r>
      <w:proofErr w:type="spellStart"/>
      <w:r w:rsidRPr="00021721">
        <w:rPr>
          <w:color w:val="222222"/>
        </w:rPr>
        <w:t>Kaabouch</w:t>
      </w:r>
      <w:proofErr w:type="spellEnd"/>
      <w:r w:rsidRPr="00021721">
        <w:rPr>
          <w:color w:val="222222"/>
        </w:rPr>
        <w:t xml:space="preserve">, social engineering attacks are one of the most dangerous threats </w:t>
      </w:r>
      <w:r>
        <w:rPr>
          <w:color w:val="222222"/>
        </w:rPr>
        <w:t>in</w:t>
      </w:r>
      <w:r w:rsidRPr="00021721">
        <w:rPr>
          <w:color w:val="222222"/>
        </w:rPr>
        <w:t xml:space="preserve"> the world.</w:t>
      </w:r>
      <w:r w:rsidRPr="009B498D">
        <w:rPr>
          <w:rStyle w:val="FootnoteReference"/>
          <w:rFonts w:eastAsiaTheme="minorEastAsia"/>
        </w:rPr>
        <w:footnoteReference w:id="84"/>
      </w:r>
      <w:r>
        <w:rPr>
          <w:color w:val="222222"/>
        </w:rPr>
        <w:t xml:space="preserve"> </w:t>
      </w:r>
      <w:r w:rsidRPr="00A17E97">
        <w:rPr>
          <w:color w:val="222222"/>
        </w:rPr>
        <w:t>According to them</w:t>
      </w:r>
      <w:r>
        <w:rPr>
          <w:color w:val="222222"/>
        </w:rPr>
        <w:t>, s</w:t>
      </w:r>
      <w:r w:rsidRPr="00A17E97">
        <w:rPr>
          <w:color w:val="222222"/>
        </w:rPr>
        <w:t>ocial engineers take advantage of victims to get sensitive information, which can be used for specific purposes or sold on the black market and da</w:t>
      </w:r>
      <w:r>
        <w:rPr>
          <w:color w:val="222222"/>
        </w:rPr>
        <w:t>rk Web.</w:t>
      </w:r>
      <w:r w:rsidRPr="009B498D">
        <w:rPr>
          <w:rStyle w:val="FootnoteReference"/>
          <w:rFonts w:eastAsiaTheme="minorEastAsia"/>
        </w:rPr>
        <w:footnoteReference w:id="85"/>
      </w:r>
      <w:r>
        <w:rPr>
          <w:color w:val="222222"/>
        </w:rPr>
        <w:t xml:space="preserve"> Here, </w:t>
      </w:r>
      <w:r>
        <w:t>s</w:t>
      </w:r>
      <w:r w:rsidRPr="004428A3">
        <w:t>ocial engineering attacks can be classified into two categories: human-based or computer-based</w:t>
      </w:r>
      <w:r>
        <w:t xml:space="preserve">. </w:t>
      </w:r>
    </w:p>
    <w:p w14:paraId="4BCD69A6" w14:textId="77777777" w:rsidR="00EC504C" w:rsidRDefault="00EC504C" w:rsidP="00EC504C">
      <w:pPr>
        <w:tabs>
          <w:tab w:val="left" w:pos="284"/>
        </w:tabs>
        <w:spacing w:before="120"/>
        <w:ind w:firstLine="567"/>
        <w:jc w:val="both"/>
        <w:rPr>
          <w:color w:val="222222"/>
        </w:rPr>
      </w:pPr>
      <w:r w:rsidRPr="00CB4B89">
        <w:rPr>
          <w:color w:val="222222"/>
        </w:rPr>
        <w:t>Where</w:t>
      </w:r>
      <w:r>
        <w:rPr>
          <w:color w:val="222222"/>
        </w:rPr>
        <w:t>as</w:t>
      </w:r>
      <w:r w:rsidRPr="00CB4B89">
        <w:rPr>
          <w:color w:val="222222"/>
        </w:rPr>
        <w:t xml:space="preserve"> </w:t>
      </w:r>
      <w:r>
        <w:rPr>
          <w:color w:val="222222"/>
        </w:rPr>
        <w:t xml:space="preserve">the </w:t>
      </w:r>
      <w:r w:rsidRPr="00CB4B89">
        <w:rPr>
          <w:color w:val="222222"/>
        </w:rPr>
        <w:t>human-based uses a traditional approach that relies on communication relationships between individuals so that criminals can dig up information and try to steal it. While the computer-based approach emphasizes the use of the system. This can be done using computer technology and telecommunications technology. The use of software used will attempt to steal important consumer data.</w:t>
      </w:r>
      <w:r>
        <w:rPr>
          <w:color w:val="222222"/>
        </w:rPr>
        <w:t xml:space="preserve"> </w:t>
      </w:r>
    </w:p>
    <w:p w14:paraId="225AE67D" w14:textId="77777777" w:rsidR="00EC504C" w:rsidRDefault="00EC504C" w:rsidP="00EC504C">
      <w:pPr>
        <w:tabs>
          <w:tab w:val="left" w:pos="284"/>
        </w:tabs>
        <w:spacing w:before="120"/>
        <w:ind w:firstLine="567"/>
        <w:jc w:val="both"/>
        <w:rPr>
          <w:color w:val="222222"/>
        </w:rPr>
      </w:pPr>
      <w:r w:rsidRPr="006C423D">
        <w:rPr>
          <w:color w:val="222222"/>
        </w:rPr>
        <w:t xml:space="preserve">In 2020, </w:t>
      </w:r>
      <w:proofErr w:type="spellStart"/>
      <w:r w:rsidRPr="006C423D">
        <w:rPr>
          <w:color w:val="222222"/>
        </w:rPr>
        <w:t>Abeer</w:t>
      </w:r>
      <w:proofErr w:type="spellEnd"/>
      <w:r w:rsidRPr="006C423D">
        <w:rPr>
          <w:color w:val="222222"/>
        </w:rPr>
        <w:t xml:space="preserve"> F. AL-</w:t>
      </w:r>
      <w:proofErr w:type="spellStart"/>
      <w:r w:rsidRPr="006C423D">
        <w:rPr>
          <w:color w:val="222222"/>
        </w:rPr>
        <w:t>Otaibi</w:t>
      </w:r>
      <w:proofErr w:type="spellEnd"/>
      <w:r w:rsidRPr="006C423D">
        <w:rPr>
          <w:color w:val="222222"/>
        </w:rPr>
        <w:t xml:space="preserve"> and Emad S </w:t>
      </w:r>
      <w:proofErr w:type="spellStart"/>
      <w:r w:rsidRPr="006C423D">
        <w:rPr>
          <w:color w:val="222222"/>
        </w:rPr>
        <w:t>Alsuwat</w:t>
      </w:r>
      <w:proofErr w:type="spellEnd"/>
      <w:r w:rsidRPr="006C423D">
        <w:rPr>
          <w:color w:val="222222"/>
        </w:rPr>
        <w:t xml:space="preserve"> in the conclusion of their research stated that "the threat of social engineering has become the main threat and is considered the biggest and most dangerous security threat which is a violation faced by individuals and institutions"</w:t>
      </w:r>
      <w:r>
        <w:rPr>
          <w:color w:val="222222"/>
        </w:rPr>
        <w:t>.</w:t>
      </w:r>
      <w:r w:rsidRPr="009B498D">
        <w:rPr>
          <w:rStyle w:val="FootnoteReference"/>
          <w:rFonts w:eastAsiaTheme="minorEastAsia"/>
        </w:rPr>
        <w:footnoteReference w:id="86"/>
      </w:r>
      <w:r>
        <w:rPr>
          <w:color w:val="222222"/>
        </w:rPr>
        <w:t xml:space="preserve"> </w:t>
      </w:r>
      <w:r w:rsidRPr="006C423D">
        <w:rPr>
          <w:color w:val="222222"/>
        </w:rPr>
        <w:t xml:space="preserve">Through social engineering, an organization can lose important data and information. A social engineering will attack with the art and technique of manipulating or luring </w:t>
      </w:r>
      <w:r w:rsidRPr="006C423D">
        <w:rPr>
          <w:color w:val="222222"/>
        </w:rPr>
        <w:t>users and institutions into obtaining important data that criminals want.</w:t>
      </w:r>
    </w:p>
    <w:p w14:paraId="14491371" w14:textId="77777777" w:rsidR="00EC504C" w:rsidRDefault="00EC504C" w:rsidP="00EC504C">
      <w:pPr>
        <w:tabs>
          <w:tab w:val="left" w:pos="284"/>
        </w:tabs>
        <w:spacing w:before="120"/>
        <w:ind w:firstLine="567"/>
        <w:jc w:val="both"/>
        <w:rPr>
          <w:color w:val="222222"/>
        </w:rPr>
      </w:pPr>
      <w:r w:rsidRPr="00E40C9B">
        <w:rPr>
          <w:color w:val="222222"/>
        </w:rPr>
        <w:t>Therefore, article 36 of the PDP Law 2022 stipulates that the Personal Data Controller is obliged to prevent the Personal Data from being accessed illegally. Prevention can be done by using a security system for Personal Data that is processed and/or processed Personal Data using an electronic system in a reliable, secure and responsible manner. Therefore, this requires an adequate security system, considering today's "cyber-attack" will target a weak security system and provide benefits for criminals.</w:t>
      </w:r>
    </w:p>
    <w:p w14:paraId="527B9B35" w14:textId="77777777" w:rsidR="00EC504C" w:rsidRPr="009E2B86" w:rsidRDefault="00EC504C" w:rsidP="00EC504C">
      <w:pPr>
        <w:pStyle w:val="ListParagraph"/>
        <w:numPr>
          <w:ilvl w:val="0"/>
          <w:numId w:val="19"/>
        </w:numPr>
        <w:tabs>
          <w:tab w:val="left" w:pos="284"/>
        </w:tabs>
        <w:spacing w:before="120"/>
        <w:ind w:hanging="1080"/>
        <w:contextualSpacing w:val="0"/>
        <w:jc w:val="both"/>
        <w:rPr>
          <w:b/>
          <w:bCs/>
          <w:color w:val="222222"/>
        </w:rPr>
      </w:pPr>
      <w:r w:rsidRPr="009E2B86">
        <w:rPr>
          <w:b/>
          <w:bCs/>
          <w:color w:val="222222"/>
        </w:rPr>
        <w:t xml:space="preserve">Malicious </w:t>
      </w:r>
      <w:r>
        <w:rPr>
          <w:b/>
          <w:bCs/>
          <w:color w:val="222222"/>
        </w:rPr>
        <w:t>I</w:t>
      </w:r>
      <w:r w:rsidRPr="009E2B86">
        <w:rPr>
          <w:b/>
          <w:bCs/>
          <w:color w:val="222222"/>
        </w:rPr>
        <w:t>nsiders</w:t>
      </w:r>
    </w:p>
    <w:p w14:paraId="6AFE3331" w14:textId="77777777" w:rsidR="00EC504C" w:rsidRDefault="00EC504C" w:rsidP="00EC504C">
      <w:pPr>
        <w:pStyle w:val="ListParagraph"/>
        <w:tabs>
          <w:tab w:val="left" w:pos="284"/>
        </w:tabs>
        <w:spacing w:before="120"/>
        <w:ind w:left="0" w:firstLine="567"/>
        <w:contextualSpacing w:val="0"/>
        <w:jc w:val="both"/>
        <w:rPr>
          <w:bCs/>
          <w:color w:val="222222"/>
        </w:rPr>
      </w:pPr>
      <w:r w:rsidRPr="00886222">
        <w:rPr>
          <w:bCs/>
          <w:color w:val="222222"/>
        </w:rPr>
        <w:t>In various organizational activities, of course, there are employees who have bad intentions. This can also happen to organizations associated with electronic service providers. An employee's violation can be in the form of seeking his own profit by ignoring the interests of the organization, as well as consumers. They can position themselves as,</w:t>
      </w:r>
      <w:r>
        <w:rPr>
          <w:bCs/>
          <w:color w:val="222222"/>
        </w:rPr>
        <w:t xml:space="preserve"> </w:t>
      </w:r>
      <w:r w:rsidRPr="00886222">
        <w:rPr>
          <w:bCs/>
          <w:color w:val="222222"/>
        </w:rPr>
        <w:t>malicious insiders</w:t>
      </w:r>
      <w:r w:rsidRPr="00FD075A">
        <w:rPr>
          <w:bCs/>
          <w:color w:val="222222"/>
        </w:rPr>
        <w:t>, inside persons, informants, and whistle-blowers are all capable of leaking data to the outside.</w:t>
      </w:r>
      <w:r w:rsidRPr="009B498D">
        <w:rPr>
          <w:rStyle w:val="FootnoteReference"/>
          <w:rFonts w:eastAsiaTheme="minorEastAsia"/>
        </w:rPr>
        <w:footnoteReference w:id="87"/>
      </w:r>
      <w:r>
        <w:rPr>
          <w:bCs/>
          <w:color w:val="222222"/>
        </w:rPr>
        <w:t xml:space="preserve">   </w:t>
      </w:r>
    </w:p>
    <w:p w14:paraId="34FED111" w14:textId="77777777" w:rsidR="00EC504C" w:rsidRDefault="00EC504C" w:rsidP="00EC504C">
      <w:pPr>
        <w:pStyle w:val="ListParagraph"/>
        <w:tabs>
          <w:tab w:val="left" w:pos="284"/>
        </w:tabs>
        <w:spacing w:before="120"/>
        <w:ind w:left="0" w:firstLine="567"/>
        <w:contextualSpacing w:val="0"/>
        <w:jc w:val="both"/>
        <w:rPr>
          <w:bCs/>
          <w:color w:val="222222"/>
        </w:rPr>
      </w:pPr>
      <w:r w:rsidRPr="002E1ECD">
        <w:rPr>
          <w:bCs/>
          <w:color w:val="222222"/>
        </w:rPr>
        <w:t>Given their role as “inside persons”, they will know more about what the organization is doing, trending issues, important data related to consumer data and company data, and other confidential matters. Inside person, given the responsibility and trust to maintain these things. Therefore, inside persons are more dangerous when committing violations than outside persons, especially in terms of leaking confidential data.</w:t>
      </w:r>
    </w:p>
    <w:p w14:paraId="2EA7532B" w14:textId="77777777" w:rsidR="00EC504C" w:rsidRDefault="00EC504C" w:rsidP="00EC504C">
      <w:pPr>
        <w:pStyle w:val="ListParagraph"/>
        <w:tabs>
          <w:tab w:val="left" w:pos="284"/>
        </w:tabs>
        <w:spacing w:before="120"/>
        <w:ind w:left="0" w:firstLine="567"/>
        <w:contextualSpacing w:val="0"/>
        <w:jc w:val="both"/>
        <w:rPr>
          <w:bCs/>
          <w:color w:val="222222"/>
        </w:rPr>
      </w:pPr>
      <w:r w:rsidRPr="002A1558">
        <w:rPr>
          <w:bCs/>
          <w:color w:val="222222"/>
        </w:rPr>
        <w:t xml:space="preserve">In this regard, </w:t>
      </w:r>
      <w:r w:rsidRPr="002A1558">
        <w:t>insider attacks accounted for 34% of all data breaches in 2018 as addressed by IBM.</w:t>
      </w:r>
      <w:r w:rsidRPr="002A1558">
        <w:rPr>
          <w:rStyle w:val="FootnoteReference"/>
          <w:rFonts w:eastAsiaTheme="minorEastAsia"/>
        </w:rPr>
        <w:footnoteReference w:id="88"/>
      </w:r>
      <w:r w:rsidRPr="002A1558">
        <w:t xml:space="preserve"> For a business organization, this is a significant amount, and can affect public trust in service delivery, especially related to the issue of maintaining the confidentiality of consumer data. Furthermore, </w:t>
      </w:r>
      <w:r w:rsidRPr="002A1558">
        <w:rPr>
          <w:bCs/>
          <w:color w:val="222222"/>
        </w:rPr>
        <w:t>malicious insider threats can take various forms such as insider Information Technology (IT) sabotage and insider fraud.</w:t>
      </w:r>
      <w:r w:rsidRPr="002A1558">
        <w:rPr>
          <w:rStyle w:val="FootnoteReference"/>
          <w:rFonts w:eastAsiaTheme="minorEastAsia"/>
        </w:rPr>
        <w:footnoteReference w:id="89"/>
      </w:r>
    </w:p>
    <w:p w14:paraId="642E51DD" w14:textId="77777777" w:rsidR="00EC504C" w:rsidRDefault="00EC504C" w:rsidP="00EC504C">
      <w:pPr>
        <w:pStyle w:val="ListParagraph"/>
        <w:tabs>
          <w:tab w:val="left" w:pos="284"/>
        </w:tabs>
        <w:spacing w:before="120"/>
        <w:ind w:left="0" w:firstLine="567"/>
        <w:contextualSpacing w:val="0"/>
        <w:jc w:val="both"/>
        <w:rPr>
          <w:bCs/>
          <w:color w:val="222222"/>
        </w:rPr>
      </w:pPr>
      <w:r w:rsidRPr="00B86CC8">
        <w:rPr>
          <w:bCs/>
          <w:color w:val="222222"/>
        </w:rPr>
        <w:t xml:space="preserve">This insider causes electronic data or information to be spread to unauthorized people. </w:t>
      </w:r>
      <w:proofErr w:type="gramStart"/>
      <w:r w:rsidRPr="00B86CC8">
        <w:rPr>
          <w:bCs/>
          <w:color w:val="222222"/>
        </w:rPr>
        <w:t>So</w:t>
      </w:r>
      <w:proofErr w:type="gramEnd"/>
      <w:r w:rsidRPr="00B86CC8">
        <w:rPr>
          <w:bCs/>
          <w:color w:val="222222"/>
        </w:rPr>
        <w:t xml:space="preserve"> article 32 (2) of the ITE Law has regulated this violation. In the article it is stated that "Every person intentionally and without rights or against the law in any way transfers or transfers Electronic Information and/or Electronic Documents to the Electronic Systems of other people who are not entitled. In its meaning, is an action against the law for people who are not entitled, then provide data and information to other parties.</w:t>
      </w:r>
    </w:p>
    <w:p w14:paraId="600782CB" w14:textId="77777777" w:rsidR="00EC504C" w:rsidRDefault="00EC504C" w:rsidP="00EC504C">
      <w:pPr>
        <w:pStyle w:val="ListParagraph"/>
        <w:numPr>
          <w:ilvl w:val="0"/>
          <w:numId w:val="13"/>
        </w:numPr>
        <w:tabs>
          <w:tab w:val="left" w:pos="284"/>
        </w:tabs>
        <w:spacing w:before="120"/>
        <w:ind w:hanging="644"/>
        <w:contextualSpacing w:val="0"/>
        <w:jc w:val="both"/>
        <w:rPr>
          <w:b/>
          <w:color w:val="222222"/>
          <w:sz w:val="24"/>
          <w:szCs w:val="24"/>
          <w:shd w:val="clear" w:color="auto" w:fill="FFFFFF"/>
        </w:rPr>
      </w:pPr>
      <w:r>
        <w:rPr>
          <w:b/>
          <w:color w:val="222222"/>
          <w:sz w:val="24"/>
          <w:szCs w:val="24"/>
          <w:shd w:val="clear" w:color="auto" w:fill="FFFFFF"/>
        </w:rPr>
        <w:lastRenderedPageBreak/>
        <w:t>Threat of Data Theft</w:t>
      </w:r>
    </w:p>
    <w:p w14:paraId="1B319B16" w14:textId="77777777" w:rsidR="00EC504C" w:rsidRPr="004D0B87" w:rsidRDefault="00EC504C" w:rsidP="00EC504C">
      <w:pPr>
        <w:tabs>
          <w:tab w:val="left" w:pos="284"/>
        </w:tabs>
        <w:spacing w:before="120"/>
        <w:ind w:firstLine="567"/>
        <w:jc w:val="both"/>
        <w:rPr>
          <w:bCs/>
          <w:color w:val="222222"/>
          <w:shd w:val="clear" w:color="auto" w:fill="FFFFFF"/>
        </w:rPr>
      </w:pPr>
      <w:r w:rsidRPr="004D0B87">
        <w:rPr>
          <w:bCs/>
          <w:color w:val="222222"/>
          <w:shd w:val="clear" w:color="auto" w:fill="FFFFFF"/>
        </w:rPr>
        <w:t>According to Kaspersky, the definition of “data theft” is the act of stealing digital information stored on computers, servers, or electronic devices to obtain confidential information or compromise privacy.</w:t>
      </w:r>
      <w:r w:rsidRPr="004D0B87">
        <w:rPr>
          <w:rStyle w:val="FootnoteReference"/>
          <w:rFonts w:eastAsiaTheme="minorEastAsia"/>
        </w:rPr>
        <w:footnoteReference w:id="90"/>
      </w:r>
      <w:r w:rsidRPr="004D0B87">
        <w:rPr>
          <w:bCs/>
          <w:color w:val="222222"/>
          <w:shd w:val="clear" w:color="auto" w:fill="FFFFFF"/>
        </w:rPr>
        <w:t xml:space="preserve"> This is an illegal activity carried out by </w:t>
      </w:r>
      <w:r w:rsidRPr="004D0B87">
        <w:rPr>
          <w:color w:val="222222"/>
          <w:shd w:val="clear" w:color="auto" w:fill="FFFFFF"/>
        </w:rPr>
        <w:t>perpetrators</w:t>
      </w:r>
      <w:r w:rsidRPr="004D0B87">
        <w:rPr>
          <w:bCs/>
          <w:color w:val="222222"/>
          <w:shd w:val="clear" w:color="auto" w:fill="FFFFFF"/>
        </w:rPr>
        <w:t xml:space="preserve"> to access data sources and steal them. Thus, various devices such as business databases, desktops, handheld devices, phones, flash drives, and cameras can all be used by thieves to steal data.</w:t>
      </w:r>
      <w:r w:rsidRPr="004D0B87">
        <w:rPr>
          <w:rStyle w:val="FootnoteReference"/>
          <w:rFonts w:eastAsiaTheme="minorEastAsia"/>
        </w:rPr>
        <w:footnoteReference w:id="91"/>
      </w:r>
      <w:r w:rsidRPr="004D0B87">
        <w:rPr>
          <w:bCs/>
          <w:color w:val="222222"/>
          <w:shd w:val="clear" w:color="auto" w:fill="FFFFFF"/>
        </w:rPr>
        <w:t xml:space="preserve"> </w:t>
      </w:r>
    </w:p>
    <w:p w14:paraId="59175FB3" w14:textId="77777777" w:rsidR="00EC504C" w:rsidRPr="004D0B87" w:rsidRDefault="00EC504C" w:rsidP="00EC504C">
      <w:pPr>
        <w:tabs>
          <w:tab w:val="left" w:pos="284"/>
        </w:tabs>
        <w:spacing w:before="120"/>
        <w:ind w:firstLine="567"/>
        <w:jc w:val="both"/>
        <w:rPr>
          <w:bCs/>
          <w:color w:val="222222"/>
          <w:shd w:val="clear" w:color="auto" w:fill="FFFFFF"/>
        </w:rPr>
      </w:pPr>
      <w:r w:rsidRPr="004D0B87">
        <w:rPr>
          <w:color w:val="000000"/>
          <w:shd w:val="clear" w:color="auto" w:fill="FFFFFF"/>
        </w:rPr>
        <w:t>Identity (ID) theft happens when someone steals your personal information to commit fraud.</w:t>
      </w:r>
      <w:r w:rsidRPr="004D0B87">
        <w:rPr>
          <w:rStyle w:val="FootnoteReference"/>
          <w:rFonts w:eastAsiaTheme="minorEastAsia"/>
        </w:rPr>
        <w:footnoteReference w:id="92"/>
      </w:r>
      <w:r w:rsidRPr="004D0B87">
        <w:rPr>
          <w:color w:val="000000"/>
          <w:shd w:val="clear" w:color="auto" w:fill="FFFFFF"/>
        </w:rPr>
        <w:t xml:space="preserve"> Service providers should have a commitment to provide data protection to prevent illegal access. This can be realized by strengthening the tough security system. </w:t>
      </w:r>
      <w:r w:rsidRPr="004D0B87">
        <w:rPr>
          <w:bCs/>
          <w:color w:val="222222"/>
          <w:shd w:val="clear" w:color="auto" w:fill="FFFFFF"/>
        </w:rPr>
        <w:t>In the online agreement, this commitment must be contained. This is not only for the benefit of consumers but also for the interests of service providers. Here, data theft is a major problem for many businesses because of security, reputation, and financial loss.</w:t>
      </w:r>
      <w:r w:rsidRPr="004D0B87">
        <w:rPr>
          <w:rStyle w:val="FootnoteReference"/>
          <w:rFonts w:eastAsiaTheme="minorEastAsia"/>
        </w:rPr>
        <w:footnoteReference w:id="93"/>
      </w:r>
    </w:p>
    <w:p w14:paraId="70BF4585" w14:textId="77777777" w:rsidR="00EC504C" w:rsidRPr="004D0B87" w:rsidRDefault="00EC504C" w:rsidP="00EC504C">
      <w:pPr>
        <w:tabs>
          <w:tab w:val="left" w:pos="284"/>
        </w:tabs>
        <w:spacing w:before="120"/>
        <w:ind w:firstLine="567"/>
        <w:jc w:val="both"/>
        <w:rPr>
          <w:bCs/>
          <w:color w:val="222222"/>
          <w:shd w:val="clear" w:color="auto" w:fill="FFFFFF"/>
        </w:rPr>
      </w:pPr>
      <w:r w:rsidRPr="004D0B87">
        <w:rPr>
          <w:bCs/>
          <w:color w:val="222222"/>
          <w:shd w:val="clear" w:color="auto" w:fill="FFFFFF"/>
        </w:rPr>
        <w:t>Historically, complaints about “identity theft” have been on the rise since 1997 when the Federal Trade Commission (FTC). In this regard, the Consumer Sentinel Network (CSN) which is part of the FTC reported that, between January and December 2013, they received more than 2 million consumer complaints of which 14% (approximately 290,056 complaints); the highest number of complaints came from the “identity theft” category.</w:t>
      </w:r>
      <w:r w:rsidRPr="004D0B87">
        <w:rPr>
          <w:rStyle w:val="FootnoteReference"/>
          <w:rFonts w:eastAsiaTheme="minorEastAsia"/>
        </w:rPr>
        <w:footnoteReference w:id="94"/>
      </w:r>
    </w:p>
    <w:p w14:paraId="74DAE3F1" w14:textId="77777777" w:rsidR="00EC504C" w:rsidRPr="004D0B87" w:rsidRDefault="00EC504C" w:rsidP="00EC504C">
      <w:pPr>
        <w:tabs>
          <w:tab w:val="left" w:pos="284"/>
        </w:tabs>
        <w:spacing w:before="120"/>
        <w:ind w:firstLine="567"/>
        <w:jc w:val="both"/>
        <w:rPr>
          <w:bCs/>
          <w:color w:val="222222"/>
          <w:shd w:val="clear" w:color="auto" w:fill="FFFFFF"/>
        </w:rPr>
      </w:pPr>
      <w:r w:rsidRPr="004D0B87">
        <w:rPr>
          <w:bCs/>
          <w:color w:val="222222"/>
          <w:shd w:val="clear" w:color="auto" w:fill="FFFFFF"/>
        </w:rPr>
        <w:t xml:space="preserve">The stolen data can be anything from bank account information, online passwords, passport numbers, driver's license numbers, social security numbers, medical records, online subscriptions, and so on. Associated with E-Health services, the risk for consumers who use this facility is data theft which is "Medical Record". </w:t>
      </w:r>
    </w:p>
    <w:p w14:paraId="0C6792A9" w14:textId="77777777" w:rsidR="00EC504C" w:rsidRPr="004D0B87" w:rsidRDefault="00EC504C" w:rsidP="00EC504C">
      <w:pPr>
        <w:tabs>
          <w:tab w:val="left" w:pos="284"/>
        </w:tabs>
        <w:spacing w:before="120"/>
        <w:ind w:firstLine="567"/>
        <w:jc w:val="both"/>
        <w:rPr>
          <w:bCs/>
          <w:color w:val="000000" w:themeColor="text1"/>
          <w:shd w:val="clear" w:color="auto" w:fill="FFFFFF"/>
        </w:rPr>
      </w:pPr>
      <w:r w:rsidRPr="004D0B87">
        <w:rPr>
          <w:bCs/>
          <w:color w:val="222222"/>
          <w:shd w:val="clear" w:color="auto" w:fill="FFFFFF"/>
        </w:rPr>
        <w:t>Here, medical Reports mean any reports generated by outside consultants of the User engaged to perform medical or medical-related testing or examination on or of such patient.</w:t>
      </w:r>
      <w:r w:rsidRPr="004D0B87">
        <w:rPr>
          <w:rStyle w:val="FootnoteReference"/>
          <w:rFonts w:eastAsiaTheme="minorEastAsia"/>
        </w:rPr>
        <w:footnoteReference w:id="95"/>
      </w:r>
      <w:r w:rsidRPr="004D0B87">
        <w:rPr>
          <w:bCs/>
          <w:color w:val="222222"/>
          <w:shd w:val="clear" w:color="auto" w:fill="FFFFFF"/>
        </w:rPr>
        <w:t xml:space="preserve"> </w:t>
      </w:r>
      <w:r w:rsidRPr="004D0B87">
        <w:rPr>
          <w:color w:val="222222"/>
          <w:shd w:val="clear" w:color="auto" w:fill="FFFFFF"/>
        </w:rPr>
        <w:t>If the security system owned by healthcare providers is not strong, then perpetrators can access it. The</w:t>
      </w:r>
      <w:r w:rsidRPr="004D0B87">
        <w:rPr>
          <w:color w:val="000000" w:themeColor="text1"/>
          <w:shd w:val="clear" w:color="auto" w:fill="FFFFFF"/>
        </w:rPr>
        <w:t xml:space="preserve">y </w:t>
      </w:r>
      <w:r w:rsidRPr="004D0B87">
        <w:rPr>
          <w:bCs/>
          <w:color w:val="000000" w:themeColor="text1"/>
          <w:shd w:val="clear" w:color="auto" w:fill="FFFFFF"/>
        </w:rPr>
        <w:t>have access to personal data to delete, alter, modify or prevent access to it illegal.</w:t>
      </w:r>
    </w:p>
    <w:p w14:paraId="7C72057A" w14:textId="77777777" w:rsidR="00EC504C" w:rsidRPr="004D0B87" w:rsidRDefault="00EC504C" w:rsidP="00EC504C">
      <w:pPr>
        <w:tabs>
          <w:tab w:val="left" w:pos="284"/>
        </w:tabs>
        <w:spacing w:before="120"/>
        <w:ind w:firstLine="567"/>
        <w:jc w:val="both"/>
        <w:rPr>
          <w:bCs/>
          <w:color w:val="000000" w:themeColor="text1"/>
          <w:shd w:val="clear" w:color="auto" w:fill="FFFFFF"/>
        </w:rPr>
      </w:pPr>
      <w:r w:rsidRPr="004D0B87">
        <w:rPr>
          <w:bCs/>
          <w:color w:val="000000" w:themeColor="text1"/>
          <w:shd w:val="clear" w:color="auto" w:fill="FFFFFF"/>
        </w:rPr>
        <w:t>In this case, the authors identify "data theft" efforts related to E-Heath services, which can be in the form, as follows:</w:t>
      </w:r>
    </w:p>
    <w:p w14:paraId="3D492057" w14:textId="77777777" w:rsidR="00EC504C" w:rsidRPr="004D0B87" w:rsidRDefault="00EC504C" w:rsidP="00EC504C">
      <w:pPr>
        <w:pStyle w:val="ListParagraph"/>
        <w:numPr>
          <w:ilvl w:val="0"/>
          <w:numId w:val="20"/>
        </w:numPr>
        <w:tabs>
          <w:tab w:val="left" w:pos="284"/>
        </w:tabs>
        <w:spacing w:before="120"/>
        <w:ind w:hanging="1440"/>
        <w:jc w:val="both"/>
        <w:rPr>
          <w:b/>
          <w:color w:val="222222"/>
        </w:rPr>
      </w:pPr>
      <w:r w:rsidRPr="004D0B87">
        <w:rPr>
          <w:b/>
          <w:color w:val="222222"/>
        </w:rPr>
        <w:t>Cyber Attack</w:t>
      </w:r>
    </w:p>
    <w:p w14:paraId="396A8FBC" w14:textId="77777777" w:rsidR="00EC504C" w:rsidRPr="004D0B87" w:rsidRDefault="00EC504C" w:rsidP="00EC504C">
      <w:pPr>
        <w:tabs>
          <w:tab w:val="left" w:pos="284"/>
        </w:tabs>
        <w:spacing w:before="120"/>
        <w:ind w:firstLine="567"/>
        <w:jc w:val="both"/>
        <w:rPr>
          <w:color w:val="222222"/>
        </w:rPr>
      </w:pPr>
      <w:r w:rsidRPr="004D0B87">
        <w:rPr>
          <w:color w:val="222222"/>
        </w:rPr>
        <w:t>A successful cyber-attack on the target will have an impact on various levels of impact, ranging from individual users, service provider organizations, and even the computing systems used. The most significant impact is usually felt on the data stored in the system or the data transmitted over the network. These impacts can be related to their confidentiality, integrity, or availability.</w:t>
      </w:r>
      <w:r w:rsidRPr="004D0B87">
        <w:rPr>
          <w:rStyle w:val="FootnoteReference"/>
          <w:rFonts w:eastAsiaTheme="minorEastAsia"/>
        </w:rPr>
        <w:footnoteReference w:id="96"/>
      </w:r>
    </w:p>
    <w:p w14:paraId="4818E8E0" w14:textId="77777777" w:rsidR="00EC504C" w:rsidRPr="004D0B87" w:rsidRDefault="00EC504C" w:rsidP="00EC504C">
      <w:pPr>
        <w:tabs>
          <w:tab w:val="left" w:pos="284"/>
        </w:tabs>
        <w:spacing w:before="120"/>
        <w:ind w:firstLine="567"/>
        <w:jc w:val="both"/>
        <w:rPr>
          <w:color w:val="222222"/>
        </w:rPr>
      </w:pPr>
      <w:r w:rsidRPr="004D0B87">
        <w:rPr>
          <w:color w:val="222222"/>
        </w:rPr>
        <w:t xml:space="preserve">In general, this cyber-attack has been regulated in Law Number 19 of 2016 Concerning Amendments to Law Number 11 of 2008 on Information and Electronic Transactions (ITE Law). Especially in Article 30 which stated, "Every person intentionally and without rights or against the law accesses Computers and/or Electronic Systems belonging to other Persons in any way". </w:t>
      </w:r>
    </w:p>
    <w:p w14:paraId="7EAAC172" w14:textId="77777777" w:rsidR="00EC504C" w:rsidRPr="004D0B87" w:rsidRDefault="00EC504C" w:rsidP="00EC504C">
      <w:pPr>
        <w:tabs>
          <w:tab w:val="left" w:pos="284"/>
        </w:tabs>
        <w:spacing w:before="120"/>
        <w:ind w:firstLine="567"/>
        <w:jc w:val="both"/>
        <w:rPr>
          <w:color w:val="222222"/>
        </w:rPr>
      </w:pPr>
      <w:r w:rsidRPr="004D0B87">
        <w:rPr>
          <w:color w:val="222222"/>
        </w:rPr>
        <w:t xml:space="preserve">This also applies to unlawful acts for the purpose of obtaining Electronic Information and/or Electronic Documents. This applies to anyone who illegally commits a violation by breaking through, overtaking, or breaking into the security system. This is a form of violation of "unauthorized access" to the system of an organization or individual. </w:t>
      </w:r>
    </w:p>
    <w:p w14:paraId="77CC3E14" w14:textId="77777777" w:rsidR="00EC504C" w:rsidRPr="004D0B87" w:rsidRDefault="00EC504C" w:rsidP="00EC504C">
      <w:pPr>
        <w:pStyle w:val="ListParagraph"/>
        <w:numPr>
          <w:ilvl w:val="0"/>
          <w:numId w:val="20"/>
        </w:numPr>
        <w:tabs>
          <w:tab w:val="left" w:pos="284"/>
        </w:tabs>
        <w:spacing w:before="120"/>
        <w:ind w:hanging="1440"/>
        <w:contextualSpacing w:val="0"/>
        <w:jc w:val="both"/>
        <w:rPr>
          <w:b/>
          <w:bCs/>
          <w:color w:val="000000" w:themeColor="text1"/>
          <w:shd w:val="clear" w:color="auto" w:fill="FFFFFF"/>
        </w:rPr>
      </w:pPr>
      <w:r w:rsidRPr="004D0B87">
        <w:rPr>
          <w:b/>
          <w:bCs/>
          <w:color w:val="000000" w:themeColor="text1"/>
          <w:shd w:val="clear" w:color="auto" w:fill="FFFFFF"/>
        </w:rPr>
        <w:t>Hacking</w:t>
      </w:r>
    </w:p>
    <w:p w14:paraId="71767548" w14:textId="77777777" w:rsidR="00EC504C" w:rsidRPr="004D0B87" w:rsidRDefault="00EC504C" w:rsidP="00EC504C">
      <w:pPr>
        <w:autoSpaceDE w:val="0"/>
        <w:autoSpaceDN w:val="0"/>
        <w:adjustRightInd w:val="0"/>
        <w:spacing w:before="120"/>
        <w:ind w:firstLine="567"/>
        <w:jc w:val="both"/>
        <w:rPr>
          <w:color w:val="222222"/>
          <w:shd w:val="clear" w:color="auto" w:fill="FFFFFF"/>
        </w:rPr>
      </w:pPr>
      <w:r w:rsidRPr="004D0B87">
        <w:t>Hacking is used as a method to commit other crimes such as theft of identity on cyberspace.</w:t>
      </w:r>
      <w:r w:rsidRPr="004D0B87">
        <w:rPr>
          <w:rStyle w:val="FootnoteReference"/>
          <w:rFonts w:eastAsiaTheme="minorEastAsia"/>
        </w:rPr>
        <w:footnoteReference w:id="97"/>
      </w:r>
      <w:r w:rsidRPr="004D0B87">
        <w:t xml:space="preserve"> </w:t>
      </w:r>
      <w:r w:rsidRPr="004D0B87">
        <w:rPr>
          <w:color w:val="222222"/>
          <w:shd w:val="clear" w:color="auto" w:fill="FFFFFF"/>
        </w:rPr>
        <w:t>This crime mode threatens sensitive personal data in different ways from other modes. Another modus operandi involves the consumer's negligence, but for this mode, the active subjects for data theft are the perpetrators themselves. The mode can be done online, through the Internet network, or offline not through another network.</w:t>
      </w:r>
    </w:p>
    <w:p w14:paraId="687E3A46" w14:textId="77777777" w:rsidR="00EC504C" w:rsidRDefault="00EC504C" w:rsidP="00EC504C">
      <w:pPr>
        <w:tabs>
          <w:tab w:val="left" w:pos="284"/>
        </w:tabs>
        <w:spacing w:before="120"/>
        <w:ind w:firstLine="567"/>
        <w:jc w:val="both"/>
        <w:rPr>
          <w:color w:val="222222"/>
          <w:shd w:val="clear" w:color="auto" w:fill="FFFFFF"/>
        </w:rPr>
      </w:pPr>
      <w:r w:rsidRPr="004D0B87">
        <w:rPr>
          <w:color w:val="222222"/>
          <w:shd w:val="clear" w:color="auto" w:fill="FFFFFF"/>
        </w:rPr>
        <w:t xml:space="preserve">Perpetrators must have expertise in the field of IT and networking, so as to break through the security system of financial organizations. The key is indeed in the security system, whether it can be easily penetrated or not. For E-Health service providers that do not have a relatively secure system, it will be easy to penetrate. The threat is consumer data can be known by the perpetrators, including the use of cloud computing systems. Here, cloud computing is a service whereby information, software, and shared resources </w:t>
      </w:r>
      <w:r w:rsidRPr="004D0B87">
        <w:rPr>
          <w:color w:val="222222"/>
          <w:shd w:val="clear" w:color="auto" w:fill="FFFFFF"/>
        </w:rPr>
        <w:lastRenderedPageBreak/>
        <w:t>are provided as a utility to electronic devices such as computers over the internet.</w:t>
      </w:r>
      <w:r w:rsidRPr="004D0B87">
        <w:rPr>
          <w:rStyle w:val="FootnoteReference"/>
          <w:rFonts w:eastAsiaTheme="minorEastAsia"/>
        </w:rPr>
        <w:footnoteReference w:id="98"/>
      </w:r>
      <w:r w:rsidRPr="004D0B87">
        <w:rPr>
          <w:color w:val="222222"/>
          <w:shd w:val="clear" w:color="auto" w:fill="FFFFFF"/>
        </w:rPr>
        <w:t xml:space="preserve"> </w:t>
      </w:r>
    </w:p>
    <w:p w14:paraId="4D8E77A8" w14:textId="77777777" w:rsidR="00EC504C" w:rsidRPr="004D0B87" w:rsidRDefault="00EC504C" w:rsidP="00EC504C">
      <w:pPr>
        <w:tabs>
          <w:tab w:val="left" w:pos="284"/>
        </w:tabs>
        <w:spacing w:before="120"/>
        <w:ind w:firstLine="567"/>
        <w:jc w:val="both"/>
        <w:rPr>
          <w:color w:val="222222"/>
          <w:shd w:val="clear" w:color="auto" w:fill="FFFFFF"/>
        </w:rPr>
      </w:pPr>
      <w:r w:rsidRPr="005E32AC">
        <w:rPr>
          <w:color w:val="222222"/>
          <w:shd w:val="clear" w:color="auto" w:fill="FFFFFF"/>
        </w:rPr>
        <w:t>Article 16 (2e) of PDP Law 2022, stipulates that in processing Personal Data, personal data controllers must protect the security of Personal Data from unauthorized access, unauthorized disclosure, unauthorized alteration, misuse, destruction, and/or disappearance. Personal data. Given that these actions can be carried out by people who have knowledge related to qualified information technology, so they can find out the security system owned by other parties, and they can easily access it.</w:t>
      </w:r>
      <w:r w:rsidRPr="004D0B87">
        <w:rPr>
          <w:color w:val="222222"/>
          <w:shd w:val="clear" w:color="auto" w:fill="FFFFFF"/>
        </w:rPr>
        <w:t xml:space="preserve">  </w:t>
      </w:r>
    </w:p>
    <w:p w14:paraId="6D9134E8" w14:textId="77777777" w:rsidR="00EC504C" w:rsidRPr="004D0B87" w:rsidRDefault="00EC504C" w:rsidP="00EC504C">
      <w:pPr>
        <w:tabs>
          <w:tab w:val="left" w:pos="284"/>
        </w:tabs>
        <w:spacing w:before="120"/>
        <w:ind w:firstLine="567"/>
        <w:jc w:val="both"/>
        <w:rPr>
          <w:color w:val="000000" w:themeColor="text1"/>
          <w:shd w:val="clear" w:color="auto" w:fill="FFFFFF"/>
        </w:rPr>
      </w:pPr>
      <w:r w:rsidRPr="004D0B87">
        <w:rPr>
          <w:color w:val="000000" w:themeColor="text1"/>
          <w:shd w:val="clear" w:color="auto" w:fill="FFFFFF"/>
        </w:rPr>
        <w:t xml:space="preserve">Furthermore, according to the Norton Cybersecurity Insights Report that 594 million people around the world were victims of cybercrime in 2015, with 21% of Americans getting their email hacked and 12% having their financial data stolen after shopping online. These cases </w:t>
      </w:r>
      <w:proofErr w:type="gramStart"/>
      <w:r w:rsidRPr="004D0B87">
        <w:rPr>
          <w:color w:val="000000" w:themeColor="text1"/>
          <w:shd w:val="clear" w:color="auto" w:fill="FFFFFF"/>
        </w:rPr>
        <w:t>is</w:t>
      </w:r>
      <w:proofErr w:type="gramEnd"/>
      <w:r w:rsidRPr="004D0B87">
        <w:rPr>
          <w:color w:val="000000" w:themeColor="text1"/>
          <w:shd w:val="clear" w:color="auto" w:fill="FFFFFF"/>
        </w:rPr>
        <w:t xml:space="preserve"> risk form with public Wi-Fi use. It seems like a convenience but put the user at risk. Here, free public Wi-Fi is a hacker’s playground for stealing personal information.</w:t>
      </w:r>
      <w:r w:rsidRPr="004D0B87">
        <w:rPr>
          <w:rStyle w:val="FootnoteReference"/>
          <w:rFonts w:eastAsiaTheme="minorEastAsia"/>
        </w:rPr>
        <w:footnoteReference w:id="99"/>
      </w:r>
    </w:p>
    <w:p w14:paraId="76A7900E" w14:textId="77777777" w:rsidR="00EC504C" w:rsidRPr="004D0B87" w:rsidRDefault="00EC504C" w:rsidP="00EC504C">
      <w:pPr>
        <w:pStyle w:val="ListParagraph"/>
        <w:numPr>
          <w:ilvl w:val="0"/>
          <w:numId w:val="20"/>
        </w:numPr>
        <w:tabs>
          <w:tab w:val="left" w:pos="284"/>
          <w:tab w:val="left" w:pos="567"/>
        </w:tabs>
        <w:spacing w:before="120"/>
        <w:ind w:hanging="1440"/>
        <w:contextualSpacing w:val="0"/>
        <w:jc w:val="both"/>
        <w:rPr>
          <w:b/>
          <w:color w:val="000000" w:themeColor="text1"/>
          <w:shd w:val="clear" w:color="auto" w:fill="FFFFFF"/>
        </w:rPr>
      </w:pPr>
      <w:r w:rsidRPr="004D0B87">
        <w:rPr>
          <w:b/>
          <w:color w:val="000000" w:themeColor="text1"/>
          <w:shd w:val="clear" w:color="auto" w:fill="FFFFFF"/>
        </w:rPr>
        <w:t>Deceptive Phishing</w:t>
      </w:r>
    </w:p>
    <w:p w14:paraId="154E58F5" w14:textId="77777777" w:rsidR="00EC504C" w:rsidRPr="004D0B87" w:rsidRDefault="00EC504C" w:rsidP="00EC504C">
      <w:pPr>
        <w:pStyle w:val="ListParagraph"/>
        <w:tabs>
          <w:tab w:val="left" w:pos="284"/>
        </w:tabs>
        <w:spacing w:before="120"/>
        <w:ind w:left="0" w:firstLine="567"/>
        <w:contextualSpacing w:val="0"/>
        <w:jc w:val="both"/>
        <w:rPr>
          <w:color w:val="000000" w:themeColor="text1"/>
          <w:shd w:val="clear" w:color="auto" w:fill="FFFFFF"/>
        </w:rPr>
      </w:pPr>
      <w:r w:rsidRPr="004D0B87">
        <w:rPr>
          <w:color w:val="000000" w:themeColor="text1"/>
          <w:shd w:val="clear" w:color="auto" w:fill="FFFFFF"/>
        </w:rPr>
        <w:t xml:space="preserve">Another form of crime related to cybercrime is phishing. Generally, phishing is the act of attempting to trick the recipient of a malicious email into opening and engaging with it. The modus operandi can not only be sent via e-mail, but also through social media. The ultimate goal is to trick sensitive personal data owners, and access to victim data. Specifically, what is part of cybercrime is called Deceptive Phishing. Deceptive phishing is to trick someone into clicking a malicious link in a seemingly legitimate phishing email than it is to break through a computer's </w:t>
      </w:r>
      <w:proofErr w:type="spellStart"/>
      <w:r w:rsidRPr="004D0B87">
        <w:rPr>
          <w:color w:val="000000" w:themeColor="text1"/>
          <w:shd w:val="clear" w:color="auto" w:fill="FFFFFF"/>
        </w:rPr>
        <w:t>defences</w:t>
      </w:r>
      <w:proofErr w:type="spellEnd"/>
      <w:r w:rsidRPr="004D0B87">
        <w:rPr>
          <w:color w:val="000000" w:themeColor="text1"/>
          <w:shd w:val="clear" w:color="auto" w:fill="FFFFFF"/>
        </w:rPr>
        <w:t>.</w:t>
      </w:r>
      <w:r w:rsidRPr="004D0B87">
        <w:rPr>
          <w:rStyle w:val="FootnoteReference"/>
          <w:rFonts w:eastAsiaTheme="minorEastAsia"/>
        </w:rPr>
        <w:footnoteReference w:id="100"/>
      </w:r>
    </w:p>
    <w:p w14:paraId="79B769D2" w14:textId="77777777" w:rsidR="00EC504C" w:rsidRPr="004D0B87" w:rsidRDefault="00EC504C" w:rsidP="00EC504C">
      <w:pPr>
        <w:pStyle w:val="ListParagraph"/>
        <w:tabs>
          <w:tab w:val="left" w:pos="284"/>
        </w:tabs>
        <w:spacing w:before="120"/>
        <w:ind w:left="0" w:firstLine="567"/>
        <w:contextualSpacing w:val="0"/>
        <w:jc w:val="both"/>
        <w:rPr>
          <w:color w:val="000000" w:themeColor="text1"/>
          <w:shd w:val="clear" w:color="auto" w:fill="FFFFFF"/>
        </w:rPr>
      </w:pPr>
      <w:r w:rsidRPr="004D0B87">
        <w:rPr>
          <w:color w:val="000000" w:themeColor="text1"/>
          <w:shd w:val="clear" w:color="auto" w:fill="FFFFFF"/>
        </w:rPr>
        <w:t xml:space="preserve"> Victims will suspect that the email came from the organization legally. The disadvantage of consumers here is that they are not careful to check the original domain name of their legal </w:t>
      </w:r>
      <w:proofErr w:type="spellStart"/>
      <w:r w:rsidRPr="004D0B87">
        <w:rPr>
          <w:color w:val="000000" w:themeColor="text1"/>
          <w:shd w:val="clear" w:color="auto" w:fill="FFFFFF"/>
        </w:rPr>
        <w:t>organisation</w:t>
      </w:r>
      <w:proofErr w:type="spellEnd"/>
      <w:r w:rsidRPr="004D0B87">
        <w:rPr>
          <w:color w:val="000000" w:themeColor="text1"/>
          <w:shd w:val="clear" w:color="auto" w:fill="FFFFFF"/>
        </w:rPr>
        <w:t xml:space="preserve">. Even more dangerous that the phishing email may have a malicious attachment, like a PDF or Word document, that, once opened, will harm the user's computer by installing malicious software (malware). </w:t>
      </w:r>
      <w:r w:rsidRPr="004D0B87">
        <w:rPr>
          <w:color w:val="000000" w:themeColor="text1"/>
        </w:rPr>
        <w:t xml:space="preserve">The danger associated with phishing is, there is a ‘typo squatting’ crime that allows the perpetrators to make like the ‘fake domain name' which makes users get miss entering the wrong domain name. </w:t>
      </w:r>
    </w:p>
    <w:p w14:paraId="0C638DAF" w14:textId="77777777" w:rsidR="00EC504C" w:rsidRPr="004D0B87" w:rsidRDefault="00EC504C" w:rsidP="00EC504C">
      <w:pPr>
        <w:spacing w:before="120"/>
        <w:ind w:firstLine="567"/>
        <w:jc w:val="both"/>
        <w:rPr>
          <w:color w:val="000000" w:themeColor="text1"/>
          <w:shd w:val="clear" w:color="auto" w:fill="FFFFFF"/>
        </w:rPr>
      </w:pPr>
      <w:r w:rsidRPr="004D0B87">
        <w:rPr>
          <w:color w:val="000000" w:themeColor="text1"/>
        </w:rPr>
        <w:t xml:space="preserve">Generally, news contained in e-mail or social media contains news that forces users to access ‘fake websites, and enter their sensitive financial data. </w:t>
      </w:r>
      <w:r w:rsidRPr="004D0B87">
        <w:rPr>
          <w:color w:val="000000" w:themeColor="text1"/>
          <w:shd w:val="clear" w:color="auto" w:fill="FFFFFF"/>
        </w:rPr>
        <w:t>It is any program or file that is harmful to a computer user. Types of malware can include computer viruses, worms, Trojan horses and spyware. These malicious programs can perform a variety of different functions such as stealing, encrypting or deleting sensitive data, altering or hijacking core computing functions and monitoring users' computer activity without their permission.</w:t>
      </w:r>
    </w:p>
    <w:p w14:paraId="623F37BB" w14:textId="77777777" w:rsidR="00EC504C" w:rsidRDefault="00EC504C" w:rsidP="00EC504C">
      <w:pPr>
        <w:pStyle w:val="ListParagraph"/>
        <w:tabs>
          <w:tab w:val="left" w:pos="284"/>
        </w:tabs>
        <w:spacing w:before="120"/>
        <w:ind w:left="0" w:firstLine="567"/>
        <w:contextualSpacing w:val="0"/>
        <w:jc w:val="both"/>
        <w:rPr>
          <w:color w:val="000000" w:themeColor="text1"/>
          <w:shd w:val="clear" w:color="auto" w:fill="FFFFFF"/>
        </w:rPr>
      </w:pPr>
      <w:r w:rsidRPr="004D0B87">
        <w:rPr>
          <w:color w:val="000000" w:themeColor="text1"/>
          <w:shd w:val="clear" w:color="auto" w:fill="FFFFFF"/>
        </w:rPr>
        <w:t>Sensitive Personal data such as medical record, under threat due to all activities carried out through the Internet, especially those related to finance will be known by the perpetrators of crime. The information submitted generally requires the user to enter a number of sensitive personal data which will then be known by the perpetrators. Thus, the perpetrators will be free to enter sensitive personal data to access the official domain name, where users save money. Therefore, the term phishing covers not only getting the user account details, but it now covers access to data all personal and financial.</w:t>
      </w:r>
      <w:r w:rsidRPr="004D0B87">
        <w:rPr>
          <w:rStyle w:val="FootnoteReference"/>
          <w:rFonts w:eastAsiaTheme="minorEastAsia"/>
        </w:rPr>
        <w:footnoteReference w:id="101"/>
      </w:r>
    </w:p>
    <w:p w14:paraId="6C672400" w14:textId="77777777" w:rsidR="00EC504C" w:rsidRDefault="00EC504C" w:rsidP="00592401">
      <w:pPr>
        <w:tabs>
          <w:tab w:val="left" w:pos="284"/>
          <w:tab w:val="left" w:pos="426"/>
        </w:tabs>
        <w:autoSpaceDE w:val="0"/>
        <w:autoSpaceDN w:val="0"/>
        <w:adjustRightInd w:val="0"/>
        <w:ind w:firstLine="567"/>
        <w:jc w:val="both"/>
        <w:rPr>
          <w:color w:val="000000" w:themeColor="text1"/>
          <w:sz w:val="22"/>
          <w:szCs w:val="22"/>
        </w:rPr>
      </w:pPr>
    </w:p>
    <w:p w14:paraId="54335C13" w14:textId="6C072583" w:rsidR="00F6048E" w:rsidRPr="00476CF0" w:rsidRDefault="00E50B1E" w:rsidP="00186C17">
      <w:pPr>
        <w:rPr>
          <w:b/>
          <w:color w:val="000000" w:themeColor="text1"/>
          <w:sz w:val="26"/>
          <w:szCs w:val="26"/>
        </w:rPr>
      </w:pPr>
      <w:r w:rsidRPr="00476CF0">
        <w:rPr>
          <w:b/>
          <w:color w:val="000000" w:themeColor="text1"/>
          <w:sz w:val="26"/>
          <w:szCs w:val="26"/>
        </w:rPr>
        <w:t>CONCLUSION</w:t>
      </w:r>
    </w:p>
    <w:p w14:paraId="6D5B3552" w14:textId="77777777" w:rsidR="00FE3AA1" w:rsidRDefault="00FE3AA1" w:rsidP="00FE3AA1">
      <w:pPr>
        <w:tabs>
          <w:tab w:val="left" w:pos="284"/>
        </w:tabs>
        <w:spacing w:before="120"/>
        <w:ind w:firstLine="567"/>
        <w:jc w:val="both"/>
      </w:pPr>
      <w:r w:rsidRPr="009533F4">
        <w:t>With the presence of E-Health services, it provides various conveniences for users to get various health facilities through electronic platforms. This provides a place and distance solution that will affect the cost of getting health services. However, this also has a negative effect with the emergence of legal issues due to the threat of criminals to consumer data.</w:t>
      </w:r>
    </w:p>
    <w:p w14:paraId="5F198140" w14:textId="77777777" w:rsidR="00FE3AA1" w:rsidRDefault="00FE3AA1" w:rsidP="00FE3AA1">
      <w:pPr>
        <w:tabs>
          <w:tab w:val="left" w:pos="284"/>
        </w:tabs>
        <w:spacing w:before="120"/>
        <w:ind w:firstLine="567"/>
        <w:jc w:val="both"/>
        <w:rPr>
          <w:shd w:val="clear" w:color="auto" w:fill="FFFFFF"/>
        </w:rPr>
      </w:pPr>
      <w:r w:rsidRPr="00EE7BD3">
        <w:rPr>
          <w:shd w:val="clear" w:color="auto" w:fill="FFFFFF"/>
        </w:rPr>
        <w:t>This study concludes that "data breaches" can occur due to "carelessness" or "bad faith" from personal data controllers, such as careless employee negligence so that data is accidentally spread to irresponsible parties. Meanwhile, "bad faith" can intentionally process the data illegally for commercial purposes, either by processing it themselves or by cooperating with other parties. Various unlawful acts in this category include employee error, Social Engineering, and Malicious Insiders.</w:t>
      </w:r>
    </w:p>
    <w:p w14:paraId="708054D4" w14:textId="77777777" w:rsidR="00FE3AA1" w:rsidRPr="00AB3F7F" w:rsidRDefault="00FE3AA1" w:rsidP="00FE3AA1">
      <w:pPr>
        <w:tabs>
          <w:tab w:val="left" w:pos="284"/>
        </w:tabs>
        <w:spacing w:before="120"/>
        <w:ind w:firstLine="426"/>
        <w:jc w:val="both"/>
        <w:rPr>
          <w:sz w:val="24"/>
          <w:szCs w:val="24"/>
          <w:shd w:val="clear" w:color="auto" w:fill="FFFFFF"/>
        </w:rPr>
      </w:pPr>
      <w:r w:rsidRPr="0062579B">
        <w:rPr>
          <w:shd w:val="clear" w:color="auto" w:fill="FFFFFF"/>
        </w:rPr>
        <w:t>This is different from "Data Theft" which is caused by "illegal access" activities carried out by criminals so that data can be changed, damaged and deleted. Various unlawful acts in this category include cyber</w:t>
      </w:r>
      <w:r>
        <w:rPr>
          <w:shd w:val="clear" w:color="auto" w:fill="FFFFFF"/>
        </w:rPr>
        <w:t>-</w:t>
      </w:r>
      <w:r w:rsidRPr="0062579B">
        <w:rPr>
          <w:shd w:val="clear" w:color="auto" w:fill="FFFFFF"/>
        </w:rPr>
        <w:t xml:space="preserve"> attacks, hacking, and Deceptive Phishing. Data related to E-health is included in the category of specific data that is protected by laws and regulations in Indonesia. With the ratification of the PDP Law 2022, it will provide "legal certainty" as an effort to provi</w:t>
      </w:r>
      <w:r w:rsidRPr="00AB3F7F">
        <w:rPr>
          <w:shd w:val="clear" w:color="auto" w:fill="FFFFFF"/>
        </w:rPr>
        <w:t>de protection for this type of data.</w:t>
      </w:r>
    </w:p>
    <w:p w14:paraId="5775FB5E" w14:textId="77777777" w:rsidR="00A06FAD" w:rsidRPr="00DF5892" w:rsidRDefault="00A06FAD" w:rsidP="00DF5892">
      <w:pPr>
        <w:autoSpaceDE w:val="0"/>
        <w:autoSpaceDN w:val="0"/>
        <w:adjustRightInd w:val="0"/>
        <w:ind w:firstLine="567"/>
        <w:jc w:val="both"/>
        <w:rPr>
          <w:color w:val="000000" w:themeColor="text1"/>
          <w:sz w:val="22"/>
          <w:szCs w:val="22"/>
        </w:rPr>
      </w:pPr>
    </w:p>
    <w:p w14:paraId="50517D92" w14:textId="03836304" w:rsidR="008E08D2" w:rsidRPr="00476CF0" w:rsidRDefault="006B1D83" w:rsidP="00786B16">
      <w:pPr>
        <w:ind w:right="276"/>
        <w:jc w:val="both"/>
        <w:rPr>
          <w:b/>
          <w:i/>
          <w:iCs/>
          <w:color w:val="000000" w:themeColor="text1"/>
          <w:sz w:val="26"/>
          <w:szCs w:val="26"/>
        </w:rPr>
      </w:pPr>
      <w:r w:rsidRPr="00476CF0">
        <w:rPr>
          <w:b/>
          <w:color w:val="000000" w:themeColor="text1"/>
          <w:sz w:val="26"/>
          <w:szCs w:val="26"/>
        </w:rPr>
        <w:t>SUGGESTION</w:t>
      </w:r>
    </w:p>
    <w:p w14:paraId="11168FF7" w14:textId="77777777" w:rsidR="00FE3AA1" w:rsidRPr="00AB3F7F" w:rsidRDefault="00FE3AA1" w:rsidP="00FE3AA1">
      <w:pPr>
        <w:tabs>
          <w:tab w:val="left" w:pos="284"/>
        </w:tabs>
        <w:spacing w:before="120"/>
        <w:ind w:firstLine="567"/>
        <w:jc w:val="both"/>
        <w:rPr>
          <w:sz w:val="24"/>
          <w:szCs w:val="24"/>
          <w:shd w:val="clear" w:color="auto" w:fill="FFFFFF"/>
        </w:rPr>
      </w:pPr>
      <w:r w:rsidRPr="00AB3F7F">
        <w:rPr>
          <w:shd w:val="clear" w:color="auto" w:fill="FFFFFF"/>
        </w:rPr>
        <w:t xml:space="preserve">This study recommends the need for commitment from personal data controllers to participate in providing protection efforts, both in terms of education and legal substance, through the creation of company "self-regulation". The most important thing is that consumers can understand legally and technically as an effort to avoid crime, until legal efforts to get protection are fulfilled. In the future, it is necessary to create an independent institution that controls the responsibility of controlling personal data to avoid infringement on the use of personal data. Given the </w:t>
      </w:r>
      <w:r w:rsidRPr="00AB3F7F">
        <w:rPr>
          <w:shd w:val="clear" w:color="auto" w:fill="FFFFFF"/>
        </w:rPr>
        <w:lastRenderedPageBreak/>
        <w:t>legal substance, various laws and regulations are sufficient to provide data protection.</w:t>
      </w:r>
    </w:p>
    <w:p w14:paraId="64E3E600" w14:textId="7F938C16" w:rsidR="00D65845" w:rsidRPr="00476CF0" w:rsidRDefault="006B1D83" w:rsidP="00B9416A">
      <w:pPr>
        <w:spacing w:before="120"/>
        <w:ind w:right="9"/>
        <w:rPr>
          <w:b/>
          <w:color w:val="000000" w:themeColor="text1"/>
          <w:sz w:val="26"/>
          <w:szCs w:val="26"/>
          <w:lang w:val="en-ID"/>
        </w:rPr>
      </w:pPr>
      <w:r w:rsidRPr="00476CF0">
        <w:rPr>
          <w:b/>
          <w:color w:val="000000" w:themeColor="text1"/>
          <w:sz w:val="26"/>
          <w:szCs w:val="26"/>
          <w:lang w:val="en-ID"/>
        </w:rPr>
        <w:t>ACKNOWLEDGMENT</w:t>
      </w:r>
    </w:p>
    <w:p w14:paraId="1BB185F2" w14:textId="08DA76A6" w:rsidR="004060E0" w:rsidRPr="00212755" w:rsidRDefault="00C3210D" w:rsidP="00212755">
      <w:pPr>
        <w:spacing w:before="120"/>
        <w:ind w:firstLine="567"/>
        <w:jc w:val="both"/>
        <w:rPr>
          <w:bCs/>
          <w:i/>
          <w:color w:val="000000" w:themeColor="text1"/>
          <w:sz w:val="22"/>
          <w:szCs w:val="22"/>
          <w:lang w:val="id-ID"/>
        </w:rPr>
      </w:pPr>
      <w:r w:rsidRPr="00476CF0">
        <w:rPr>
          <w:color w:val="000000" w:themeColor="text1"/>
          <w:sz w:val="22"/>
          <w:szCs w:val="22"/>
        </w:rPr>
        <w:t>First of all, the author would like to thank Allah SWT for the completion of this study,</w:t>
      </w:r>
      <w:r w:rsidR="009F2BAA">
        <w:rPr>
          <w:color w:val="000000" w:themeColor="text1"/>
          <w:sz w:val="22"/>
          <w:szCs w:val="22"/>
        </w:rPr>
        <w:t xml:space="preserve"> </w:t>
      </w:r>
      <w:proofErr w:type="spellStart"/>
      <w:r w:rsidR="009F2BAA">
        <w:rPr>
          <w:color w:val="000000" w:themeColor="text1"/>
          <w:sz w:val="22"/>
          <w:szCs w:val="22"/>
        </w:rPr>
        <w:t>Kemendikbudristek</w:t>
      </w:r>
      <w:proofErr w:type="spellEnd"/>
      <w:r w:rsidR="009F2BAA">
        <w:rPr>
          <w:color w:val="000000" w:themeColor="text1"/>
          <w:sz w:val="22"/>
          <w:szCs w:val="22"/>
        </w:rPr>
        <w:t>, Republic of Indonesia,</w:t>
      </w:r>
      <w:r w:rsidRPr="00476CF0">
        <w:rPr>
          <w:color w:val="000000" w:themeColor="text1"/>
          <w:sz w:val="22"/>
          <w:szCs w:val="22"/>
        </w:rPr>
        <w:t xml:space="preserve"> the Postgraduate Program of Law, University </w:t>
      </w:r>
      <w:r w:rsidR="00860BFE">
        <w:rPr>
          <w:color w:val="000000" w:themeColor="text1"/>
          <w:sz w:val="22"/>
          <w:szCs w:val="22"/>
        </w:rPr>
        <w:t xml:space="preserve">of </w:t>
      </w:r>
      <w:proofErr w:type="spellStart"/>
      <w:r w:rsidRPr="00476CF0">
        <w:rPr>
          <w:color w:val="000000" w:themeColor="text1"/>
          <w:sz w:val="22"/>
          <w:szCs w:val="22"/>
        </w:rPr>
        <w:t>Langlangbuana</w:t>
      </w:r>
      <w:proofErr w:type="spellEnd"/>
      <w:r w:rsidRPr="00476CF0">
        <w:rPr>
          <w:color w:val="000000" w:themeColor="text1"/>
          <w:sz w:val="22"/>
          <w:szCs w:val="22"/>
        </w:rPr>
        <w:t xml:space="preserve"> and </w:t>
      </w:r>
      <w:r w:rsidR="00B86341" w:rsidRPr="00476CF0">
        <w:rPr>
          <w:color w:val="000000" w:themeColor="text1"/>
          <w:sz w:val="22"/>
          <w:szCs w:val="22"/>
        </w:rPr>
        <w:t xml:space="preserve">Badan </w:t>
      </w:r>
      <w:proofErr w:type="spellStart"/>
      <w:r w:rsidR="00B86341" w:rsidRPr="00476CF0">
        <w:rPr>
          <w:color w:val="000000" w:themeColor="text1"/>
          <w:sz w:val="22"/>
          <w:szCs w:val="22"/>
        </w:rPr>
        <w:t>Pengembangan</w:t>
      </w:r>
      <w:proofErr w:type="spellEnd"/>
      <w:r w:rsidR="00B86341" w:rsidRPr="00476CF0">
        <w:rPr>
          <w:color w:val="000000" w:themeColor="text1"/>
          <w:sz w:val="22"/>
          <w:szCs w:val="22"/>
        </w:rPr>
        <w:t xml:space="preserve"> </w:t>
      </w:r>
      <w:proofErr w:type="spellStart"/>
      <w:r w:rsidR="00B86341" w:rsidRPr="00476CF0">
        <w:rPr>
          <w:color w:val="000000" w:themeColor="text1"/>
          <w:sz w:val="22"/>
          <w:szCs w:val="22"/>
        </w:rPr>
        <w:t>Sumber</w:t>
      </w:r>
      <w:r w:rsidR="00891401" w:rsidRPr="00476CF0">
        <w:rPr>
          <w:color w:val="000000" w:themeColor="text1"/>
          <w:sz w:val="22"/>
          <w:szCs w:val="22"/>
        </w:rPr>
        <w:t>d</w:t>
      </w:r>
      <w:r w:rsidR="00B86341" w:rsidRPr="00476CF0">
        <w:rPr>
          <w:color w:val="000000" w:themeColor="text1"/>
          <w:sz w:val="22"/>
          <w:szCs w:val="22"/>
        </w:rPr>
        <w:t>aya</w:t>
      </w:r>
      <w:proofErr w:type="spellEnd"/>
      <w:r w:rsidR="00B86341" w:rsidRPr="00476CF0">
        <w:rPr>
          <w:color w:val="000000" w:themeColor="text1"/>
          <w:sz w:val="22"/>
          <w:szCs w:val="22"/>
        </w:rPr>
        <w:t xml:space="preserve"> </w:t>
      </w:r>
      <w:proofErr w:type="spellStart"/>
      <w:r w:rsidR="00B86341" w:rsidRPr="00476CF0">
        <w:rPr>
          <w:color w:val="000000" w:themeColor="text1"/>
          <w:sz w:val="22"/>
          <w:szCs w:val="22"/>
        </w:rPr>
        <w:t>Manusia</w:t>
      </w:r>
      <w:proofErr w:type="spellEnd"/>
      <w:r w:rsidR="00B86341" w:rsidRPr="00476CF0">
        <w:rPr>
          <w:color w:val="000000" w:themeColor="text1"/>
          <w:sz w:val="22"/>
          <w:szCs w:val="22"/>
        </w:rPr>
        <w:t xml:space="preserve"> (</w:t>
      </w:r>
      <w:r w:rsidRPr="00476CF0">
        <w:rPr>
          <w:color w:val="000000" w:themeColor="text1"/>
          <w:sz w:val="22"/>
          <w:szCs w:val="22"/>
        </w:rPr>
        <w:t>BPSDM</w:t>
      </w:r>
      <w:r w:rsidR="00B86341" w:rsidRPr="00476CF0">
        <w:rPr>
          <w:color w:val="000000" w:themeColor="text1"/>
          <w:sz w:val="22"/>
          <w:szCs w:val="22"/>
        </w:rPr>
        <w:t>)</w:t>
      </w:r>
      <w:r w:rsidR="00891401" w:rsidRPr="00476CF0">
        <w:rPr>
          <w:color w:val="000000" w:themeColor="text1"/>
          <w:sz w:val="22"/>
          <w:szCs w:val="22"/>
        </w:rPr>
        <w:t>,</w:t>
      </w:r>
      <w:r w:rsidRPr="00476CF0">
        <w:rPr>
          <w:color w:val="000000" w:themeColor="text1"/>
          <w:sz w:val="22"/>
          <w:szCs w:val="22"/>
        </w:rPr>
        <w:t xml:space="preserve"> Ministry of Law and Human Rights,</w:t>
      </w:r>
      <w:r w:rsidR="004F3176">
        <w:rPr>
          <w:color w:val="000000" w:themeColor="text1"/>
          <w:sz w:val="22"/>
          <w:szCs w:val="22"/>
        </w:rPr>
        <w:t xml:space="preserve"> of T</w:t>
      </w:r>
      <w:r w:rsidRPr="00476CF0">
        <w:rPr>
          <w:color w:val="000000" w:themeColor="text1"/>
          <w:sz w:val="22"/>
          <w:szCs w:val="22"/>
        </w:rPr>
        <w:t>he Republic of Indonesia for the valuable support.</w:t>
      </w:r>
    </w:p>
    <w:p w14:paraId="663CF207" w14:textId="77777777" w:rsidR="004060E0" w:rsidRPr="003B1F9D" w:rsidRDefault="004060E0" w:rsidP="003B3024">
      <w:pPr>
        <w:ind w:firstLine="567"/>
        <w:jc w:val="both"/>
        <w:rPr>
          <w:sz w:val="22"/>
          <w:szCs w:val="22"/>
          <w:lang w:val="en-ID"/>
        </w:rPr>
      </w:pPr>
    </w:p>
    <w:sdt>
      <w:sdtPr>
        <w:id w:val="-680745753"/>
        <w:docPartObj>
          <w:docPartGallery w:val="Bibliographies"/>
          <w:docPartUnique/>
        </w:docPartObj>
      </w:sdtPr>
      <w:sdtEndPr>
        <w:rPr>
          <w:sz w:val="22"/>
          <w:szCs w:val="22"/>
        </w:rPr>
      </w:sdtEndPr>
      <w:sdtContent>
        <w:sdt>
          <w:sdtPr>
            <w:id w:val="111145805"/>
            <w:bibliography/>
          </w:sdtPr>
          <w:sdtEndPr>
            <w:rPr>
              <w:sz w:val="22"/>
              <w:szCs w:val="22"/>
            </w:rPr>
          </w:sdtEndPr>
          <w:sdtContent>
            <w:p w14:paraId="31F2A583" w14:textId="17282B8F" w:rsidR="004060E0" w:rsidRPr="00212755" w:rsidRDefault="007A0E09" w:rsidP="00212755">
              <w:pPr>
                <w:pStyle w:val="Bibliography"/>
                <w:ind w:left="720" w:hanging="720"/>
                <w:rPr>
                  <w:b/>
                  <w:sz w:val="26"/>
                  <w:szCs w:val="26"/>
                  <w:lang w:val="en-ID"/>
                </w:rPr>
              </w:pPr>
              <w:r w:rsidRPr="003B1F9D">
                <w:rPr>
                  <w:b/>
                  <w:sz w:val="26"/>
                  <w:szCs w:val="26"/>
                  <w:lang w:val="en-ID"/>
                </w:rPr>
                <w:t>REFERENCES</w:t>
              </w:r>
            </w:p>
            <w:p w14:paraId="3DFC4F95" w14:textId="461BA0F0" w:rsidR="004060E0" w:rsidRDefault="004060E0" w:rsidP="000D09E5">
              <w:pPr>
                <w:jc w:val="both"/>
                <w:rPr>
                  <w:b/>
                  <w:bCs/>
                  <w:noProof/>
                  <w:sz w:val="22"/>
                  <w:szCs w:val="22"/>
                </w:rPr>
              </w:pPr>
            </w:p>
            <w:p w14:paraId="6E5A8D6B" w14:textId="57706C2F" w:rsidR="00FE3AA1" w:rsidRPr="00FE3AA1" w:rsidRDefault="00FE3AA1" w:rsidP="00FE3AA1">
              <w:pPr>
                <w:widowControl w:val="0"/>
                <w:autoSpaceDE w:val="0"/>
                <w:autoSpaceDN w:val="0"/>
                <w:adjustRightInd w:val="0"/>
                <w:ind w:left="480" w:hanging="480"/>
                <w:rPr>
                  <w:noProof/>
                  <w:sz w:val="22"/>
                  <w:szCs w:val="24"/>
                </w:rPr>
              </w:pPr>
              <w:r>
                <w:rPr>
                  <w:b/>
                  <w:bCs/>
                  <w:noProof/>
                  <w:sz w:val="22"/>
                  <w:szCs w:val="22"/>
                </w:rPr>
                <w:fldChar w:fldCharType="begin" w:fldLock="1"/>
              </w:r>
              <w:r>
                <w:rPr>
                  <w:b/>
                  <w:bCs/>
                  <w:noProof/>
                  <w:sz w:val="22"/>
                  <w:szCs w:val="22"/>
                </w:rPr>
                <w:instrText xml:space="preserve">ADDIN Mendeley Bibliography CSL_BIBLIOGRAPHY </w:instrText>
              </w:r>
              <w:r>
                <w:rPr>
                  <w:b/>
                  <w:bCs/>
                  <w:noProof/>
                  <w:sz w:val="22"/>
                  <w:szCs w:val="22"/>
                </w:rPr>
                <w:fldChar w:fldCharType="separate"/>
              </w:r>
              <w:r w:rsidRPr="00FE3AA1">
                <w:rPr>
                  <w:noProof/>
                  <w:sz w:val="22"/>
                  <w:szCs w:val="24"/>
                </w:rPr>
                <w:t xml:space="preserve">Akanbi, Abolaji B., Adewale O. Adebayo, Sunday A. Idowu, and Ebunoluwa E. Okediran. “A Stacked Ensemble Framework for Detecting Malicious Insiders.” </w:t>
              </w:r>
              <w:r w:rsidRPr="00FE3AA1">
                <w:rPr>
                  <w:i/>
                  <w:iCs/>
                  <w:noProof/>
                  <w:sz w:val="22"/>
                  <w:szCs w:val="24"/>
                </w:rPr>
                <w:t>International Journal of Innovative Research in Computer Science &amp; Technology</w:t>
              </w:r>
              <w:r w:rsidRPr="00FE3AA1">
                <w:rPr>
                  <w:noProof/>
                  <w:sz w:val="22"/>
                  <w:szCs w:val="24"/>
                </w:rPr>
                <w:t xml:space="preserve"> 8, no. 4 (2020).</w:t>
              </w:r>
            </w:p>
            <w:p w14:paraId="22F02A2C"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Almunia, Joaquín. “Speech - Competition and Personal Data Protection, Commissioner Joaquín Almunia.” </w:t>
              </w:r>
              <w:r w:rsidRPr="00FE3AA1">
                <w:rPr>
                  <w:i/>
                  <w:iCs/>
                  <w:noProof/>
                  <w:sz w:val="22"/>
                  <w:szCs w:val="24"/>
                </w:rPr>
                <w:t>European Commission</w:t>
              </w:r>
              <w:r w:rsidRPr="00FE3AA1">
                <w:rPr>
                  <w:noProof/>
                  <w:sz w:val="22"/>
                  <w:szCs w:val="24"/>
                </w:rPr>
                <w:t>. Last modified 2012. https://ec.europa.eu/commission/presscorner/detail/en/SPEECH_12_860.</w:t>
              </w:r>
            </w:p>
            <w:p w14:paraId="728EADD4"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Amiruddin &amp; Asikin, Z. </w:t>
              </w:r>
              <w:r w:rsidRPr="00FE3AA1">
                <w:rPr>
                  <w:i/>
                  <w:iCs/>
                  <w:noProof/>
                  <w:sz w:val="22"/>
                  <w:szCs w:val="24"/>
                </w:rPr>
                <w:t>Pengantar Metode Penelitian Hukum</w:t>
              </w:r>
              <w:r w:rsidRPr="00FE3AA1">
                <w:rPr>
                  <w:noProof/>
                  <w:sz w:val="22"/>
                  <w:szCs w:val="24"/>
                </w:rPr>
                <w:t>. Jakarta: Raja Grafindo Persada, 2003.</w:t>
              </w:r>
            </w:p>
            <w:p w14:paraId="66AF81AB"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Asosiasi Penyelenggara Jasa Internet. </w:t>
              </w:r>
              <w:r w:rsidRPr="00FE3AA1">
                <w:rPr>
                  <w:i/>
                  <w:iCs/>
                  <w:noProof/>
                  <w:sz w:val="22"/>
                  <w:szCs w:val="24"/>
                </w:rPr>
                <w:t>Profil Internet Indonesia 2022</w:t>
              </w:r>
              <w:r w:rsidRPr="00FE3AA1">
                <w:rPr>
                  <w:noProof/>
                  <w:sz w:val="22"/>
                  <w:szCs w:val="24"/>
                </w:rPr>
                <w:t>, 2022.</w:t>
              </w:r>
            </w:p>
            <w:p w14:paraId="760E6D70"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Bahalul, Haque, and Tahmid Hasan Pranto. “Health Data Security : A Privacy-Preserving Proposed Strategy for Bangladesh.” </w:t>
              </w:r>
              <w:r w:rsidRPr="00FE3AA1">
                <w:rPr>
                  <w:i/>
                  <w:iCs/>
                  <w:noProof/>
                  <w:sz w:val="22"/>
                  <w:szCs w:val="24"/>
                </w:rPr>
                <w:t>International Journal of Emerging Technologies in Engineering Research (IJETER)</w:t>
              </w:r>
              <w:r w:rsidRPr="00FE3AA1">
                <w:rPr>
                  <w:noProof/>
                  <w:sz w:val="22"/>
                  <w:szCs w:val="24"/>
                </w:rPr>
                <w:t xml:space="preserve"> 8, no. 7 (2020): 1–8.</w:t>
              </w:r>
            </w:p>
            <w:p w14:paraId="2289463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Becerril, A. A. “The Value of Our Personal Data in the Big Data and the Internet of All Things Era.” </w:t>
              </w:r>
              <w:r w:rsidRPr="00FE3AA1">
                <w:rPr>
                  <w:i/>
                  <w:iCs/>
                  <w:noProof/>
                  <w:sz w:val="22"/>
                  <w:szCs w:val="24"/>
                </w:rPr>
                <w:t>ADCAIJ: Advances in Distributed Computing and Artificial Intelligence Journal</w:t>
              </w:r>
              <w:r w:rsidRPr="00FE3AA1">
                <w:rPr>
                  <w:noProof/>
                  <w:sz w:val="22"/>
                  <w:szCs w:val="24"/>
                </w:rPr>
                <w:t xml:space="preserve"> 7, no. 2 (2018): 71–80.</w:t>
              </w:r>
            </w:p>
            <w:p w14:paraId="07588960"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Becerril, Anahiby Anyel. “The Value of Our Personal Data in the Big Data and the Internet of All Things Era.” </w:t>
              </w:r>
              <w:r w:rsidRPr="00FE3AA1">
                <w:rPr>
                  <w:i/>
                  <w:iCs/>
                  <w:noProof/>
                  <w:sz w:val="22"/>
                  <w:szCs w:val="24"/>
                </w:rPr>
                <w:t>ADCAIJ: Advances in Distributed Computing and Artificial Intelligence Journal</w:t>
              </w:r>
              <w:r w:rsidRPr="00FE3AA1">
                <w:rPr>
                  <w:noProof/>
                  <w:sz w:val="22"/>
                  <w:szCs w:val="24"/>
                </w:rPr>
                <w:t xml:space="preserve"> 7, no. 2 (2018): 71–80.</w:t>
              </w:r>
            </w:p>
            <w:p w14:paraId="6A9ADAF9"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Biesdorf, Stefan, David Court, and Paul Willmott. “Big Data: What’s Your Plan?” </w:t>
              </w:r>
              <w:r w:rsidRPr="00FE3AA1">
                <w:rPr>
                  <w:i/>
                  <w:iCs/>
                  <w:noProof/>
                  <w:sz w:val="22"/>
                  <w:szCs w:val="24"/>
                </w:rPr>
                <w:t>1 March 2013</w:t>
              </w:r>
              <w:r w:rsidRPr="00FE3AA1">
                <w:rPr>
                  <w:noProof/>
                  <w:sz w:val="22"/>
                  <w:szCs w:val="24"/>
                </w:rPr>
                <w:t>. Last modified 2013. Accessed September 28, 2022. https://www.mckinsey.com/capabilities/mckinsey-digital/our-insights/big-data-whats-your-plan.</w:t>
              </w:r>
            </w:p>
            <w:p w14:paraId="51CF7E03"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Bottis, Maria, and George Boucha. “Personal Data v. Big Data: Challenges of Commodification of Personal Data.” </w:t>
              </w:r>
              <w:r w:rsidRPr="00FE3AA1">
                <w:rPr>
                  <w:i/>
                  <w:iCs/>
                  <w:noProof/>
                  <w:sz w:val="22"/>
                  <w:szCs w:val="24"/>
                </w:rPr>
                <w:t>Open Journal of Philosophy</w:t>
              </w:r>
              <w:r w:rsidRPr="00FE3AA1">
                <w:rPr>
                  <w:noProof/>
                  <w:sz w:val="22"/>
                  <w:szCs w:val="24"/>
                </w:rPr>
                <w:t xml:space="preserve"> 8 (2018): 206–215. </w:t>
              </w:r>
              <w:r w:rsidRPr="00FE3AA1">
                <w:rPr>
                  <w:noProof/>
                  <w:sz w:val="22"/>
                  <w:szCs w:val="24"/>
                </w:rPr>
                <w:t>http://www.scirp.org/journal/ojpp.</w:t>
              </w:r>
            </w:p>
            <w:p w14:paraId="20222716"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Castells, M. </w:t>
              </w:r>
              <w:r w:rsidRPr="00FE3AA1">
                <w:rPr>
                  <w:i/>
                  <w:iCs/>
                  <w:noProof/>
                  <w:sz w:val="22"/>
                  <w:szCs w:val="24"/>
                </w:rPr>
                <w:t>The Information Age</w:t>
              </w:r>
              <w:r w:rsidRPr="00FE3AA1">
                <w:rPr>
                  <w:noProof/>
                  <w:sz w:val="22"/>
                  <w:szCs w:val="24"/>
                </w:rPr>
                <w:t>. III. Oxford: Blackwell, 1998.</w:t>
              </w:r>
            </w:p>
            <w:p w14:paraId="59424358"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Culnan, M. J., and C. C. Williams. “How Ethics Can Enhance Organizational Privacy: Lessons from the Choicepoint and TJX Data Breaches.” </w:t>
              </w:r>
              <w:r w:rsidRPr="00FE3AA1">
                <w:rPr>
                  <w:i/>
                  <w:iCs/>
                  <w:noProof/>
                  <w:sz w:val="22"/>
                  <w:szCs w:val="24"/>
                </w:rPr>
                <w:t>MIS Quarterly</w:t>
              </w:r>
              <w:r w:rsidRPr="00FE3AA1">
                <w:rPr>
                  <w:noProof/>
                  <w:sz w:val="22"/>
                  <w:szCs w:val="24"/>
                </w:rPr>
                <w:t xml:space="preserve"> 33, no. 4 (2009): 673–687.</w:t>
              </w:r>
            </w:p>
            <w:p w14:paraId="5E1E6454"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Dash, Sabyasachi, Sushil Kumar Shakyawar, Mohit Sharma, and Sandeep Kaushik. “Big Data in Healthcare: Management, Analysis and Future Prospects.” </w:t>
              </w:r>
              <w:r w:rsidRPr="00FE3AA1">
                <w:rPr>
                  <w:i/>
                  <w:iCs/>
                  <w:noProof/>
                  <w:sz w:val="22"/>
                  <w:szCs w:val="24"/>
                </w:rPr>
                <w:t>Journal of Big Data</w:t>
              </w:r>
              <w:r w:rsidRPr="00FE3AA1">
                <w:rPr>
                  <w:noProof/>
                  <w:sz w:val="22"/>
                  <w:szCs w:val="24"/>
                </w:rPr>
                <w:t xml:space="preserve"> 6, no. 1 (2019): 2. https://doi.org/10.1186/s40537-019-0217-0.</w:t>
              </w:r>
            </w:p>
            <w:p w14:paraId="4EFBD0CB"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Deshpande, Indrajeet. “What Is Customer Data? Definition, Types, Collection, Validation, and Analysis.” Last modified 2021. Accessed September 28, 2022. https://www.spiceworks.com/marketing/customer-data/articles/what-is-customer-data/.</w:t>
              </w:r>
            </w:p>
            <w:p w14:paraId="2D85D344"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Drivas, I.C., D. Kouis, D. Kyriaki-Manessi, and F Giannakopoulou. “Social Media Analytics and Metrics for Improving Users Engagement.” </w:t>
              </w:r>
              <w:r w:rsidRPr="00FE3AA1">
                <w:rPr>
                  <w:i/>
                  <w:iCs/>
                  <w:noProof/>
                  <w:sz w:val="22"/>
                  <w:szCs w:val="24"/>
                </w:rPr>
                <w:t>Knowledge</w:t>
              </w:r>
              <w:r w:rsidRPr="00FE3AA1">
                <w:rPr>
                  <w:noProof/>
                  <w:sz w:val="22"/>
                  <w:szCs w:val="24"/>
                </w:rPr>
                <w:t xml:space="preserve"> 2 (2022): 225–242.</w:t>
              </w:r>
            </w:p>
            <w:p w14:paraId="0206912D"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Dymyt, Malgorzata. “The Role of EHealth in the Management of Patient Safety.” </w:t>
              </w:r>
              <w:r w:rsidRPr="00FE3AA1">
                <w:rPr>
                  <w:i/>
                  <w:iCs/>
                  <w:noProof/>
                  <w:sz w:val="22"/>
                  <w:szCs w:val="24"/>
                </w:rPr>
                <w:t>Journal of e-health Management</w:t>
              </w:r>
              <w:r w:rsidRPr="00FE3AA1">
                <w:rPr>
                  <w:noProof/>
                  <w:sz w:val="22"/>
                  <w:szCs w:val="24"/>
                </w:rPr>
                <w:t xml:space="preserve"> 2020 (2020): 1–13. https://ibimapublishing.com/articles/JEHM/2020/341252/.</w:t>
              </w:r>
            </w:p>
            <w:p w14:paraId="50FC2B09"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Ekran. “How to Prevent Human Error: Top 4 Employee Cybersecurity Mistakes.” Last modified 2019. Accessed October 9, 2022. https://www.ekransystem.com/en/blog/how-prevent-human-error-top-5-employee-cyber-security-mistakes.</w:t>
              </w:r>
            </w:p>
            <w:p w14:paraId="750BE13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European Court of Human Rights. </w:t>
              </w:r>
              <w:r w:rsidRPr="00FE3AA1">
                <w:rPr>
                  <w:i/>
                  <w:iCs/>
                  <w:noProof/>
                  <w:sz w:val="22"/>
                  <w:szCs w:val="24"/>
                </w:rPr>
                <w:t>Vereniging Weekblad Bluf! V. the Netherlands</w:t>
              </w:r>
              <w:r w:rsidRPr="00FE3AA1">
                <w:rPr>
                  <w:noProof/>
                  <w:sz w:val="22"/>
                  <w:szCs w:val="24"/>
                </w:rPr>
                <w:t>, Series A v (1995).</w:t>
              </w:r>
            </w:p>
            <w:p w14:paraId="63CD0AB9"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Eysenbach, Gunther. “What Is E-Health?” </w:t>
              </w:r>
              <w:r w:rsidRPr="00FE3AA1">
                <w:rPr>
                  <w:i/>
                  <w:iCs/>
                  <w:noProof/>
                  <w:sz w:val="22"/>
                  <w:szCs w:val="24"/>
                </w:rPr>
                <w:t>Journal of Medical Internet Research</w:t>
              </w:r>
              <w:r w:rsidRPr="00FE3AA1">
                <w:rPr>
                  <w:noProof/>
                  <w:sz w:val="22"/>
                  <w:szCs w:val="24"/>
                </w:rPr>
                <w:t xml:space="preserve"> 3, no. 2 (2001): 1–5.</w:t>
              </w:r>
            </w:p>
            <w:p w14:paraId="4C213725"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F. AL-Otaibi, Abeer, and Emad S Alsuwat. “A Study on Social Engineering Attacks: Phishing Attack.” </w:t>
              </w:r>
              <w:r w:rsidRPr="00FE3AA1">
                <w:rPr>
                  <w:i/>
                  <w:iCs/>
                  <w:noProof/>
                  <w:sz w:val="22"/>
                  <w:szCs w:val="24"/>
                </w:rPr>
                <w:t>International Journal of Recent Advances in Multidisciplinary Research</w:t>
              </w:r>
              <w:r w:rsidRPr="00FE3AA1">
                <w:rPr>
                  <w:noProof/>
                  <w:sz w:val="22"/>
                  <w:szCs w:val="24"/>
                </w:rPr>
                <w:t xml:space="preserve"> 07, no. 11 (2020): 6374–6380.</w:t>
              </w:r>
            </w:p>
            <w:p w14:paraId="314D5B69"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Fernandes, Diogo A.B., Liliana F.B. Soares, João V. Gomes, Mário M. Freire, and Pedro R.M. Inácio. “Chapter 25 - A Quick Perspective on the Current State in Cybersecurity.” In </w:t>
              </w:r>
              <w:r w:rsidRPr="00FE3AA1">
                <w:rPr>
                  <w:i/>
                  <w:iCs/>
                  <w:noProof/>
                  <w:sz w:val="22"/>
                  <w:szCs w:val="24"/>
                </w:rPr>
                <w:t>Emerging Trends in ICT Security</w:t>
              </w:r>
              <w:r w:rsidRPr="00FE3AA1">
                <w:rPr>
                  <w:noProof/>
                  <w:sz w:val="22"/>
                  <w:szCs w:val="24"/>
                </w:rPr>
                <w:t>, 423–442, 2014. https://www.sciencedirect.com/science/article/pii/B9780124114746000256.</w:t>
              </w:r>
            </w:p>
            <w:p w14:paraId="7FB8A43B"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Franquelo, María Auxiliadora, Jose Luis Pastrana-Brincones, Rafael E. Reigal, Juan P. Morillo-Baro, Juan A. Vázquez-Diz, Antonio Hernández-Mendo, and Verónica Morales-Sánchez. “Data Mining for Attitudinal and Belief Profiles Determination towards </w:t>
              </w:r>
              <w:r w:rsidRPr="00FE3AA1">
                <w:rPr>
                  <w:noProof/>
                  <w:sz w:val="22"/>
                  <w:szCs w:val="24"/>
                </w:rPr>
                <w:lastRenderedPageBreak/>
                <w:t xml:space="preserve">Hypnosis.” </w:t>
              </w:r>
              <w:r w:rsidRPr="00FE3AA1">
                <w:rPr>
                  <w:i/>
                  <w:iCs/>
                  <w:noProof/>
                  <w:sz w:val="22"/>
                  <w:szCs w:val="24"/>
                </w:rPr>
                <w:t>Sustainability (Switzerland)</w:t>
              </w:r>
              <w:r w:rsidRPr="00FE3AA1">
                <w:rPr>
                  <w:noProof/>
                  <w:sz w:val="22"/>
                  <w:szCs w:val="24"/>
                </w:rPr>
                <w:t xml:space="preserve"> 13, no. 14 (2021): 1.</w:t>
              </w:r>
            </w:p>
            <w:p w14:paraId="69816A82"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Franzoni, Luigi Alberto, and Arun Kumar Kaushik. “The Optimal Scope of Trade Secrets Law.” </w:t>
              </w:r>
              <w:r w:rsidRPr="00FE3AA1">
                <w:rPr>
                  <w:i/>
                  <w:iCs/>
                  <w:noProof/>
                  <w:sz w:val="22"/>
                  <w:szCs w:val="24"/>
                </w:rPr>
                <w:t>International Review of Law and Economics</w:t>
              </w:r>
              <w:r w:rsidRPr="00FE3AA1">
                <w:rPr>
                  <w:noProof/>
                  <w:sz w:val="22"/>
                  <w:szCs w:val="24"/>
                </w:rPr>
                <w:t xml:space="preserve"> 45 (2016): 45–53.</w:t>
              </w:r>
            </w:p>
            <w:p w14:paraId="24DFFFD4"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Gillis, Alexander S. “Phishing.” Last modified 2020. Accessed October 16, 2022. https://www.techtarget.com/searchsecurity/definition/phishing.</w:t>
              </w:r>
            </w:p>
            <w:p w14:paraId="4066327F"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Herman, Herman. “6 Juta Data Pasien RS Bocor, Ini Risiko Yang Mengintai.” </w:t>
              </w:r>
              <w:r w:rsidRPr="00FE3AA1">
                <w:rPr>
                  <w:i/>
                  <w:iCs/>
                  <w:noProof/>
                  <w:sz w:val="22"/>
                  <w:szCs w:val="24"/>
                </w:rPr>
                <w:t>7 January 2022</w:t>
              </w:r>
              <w:r w:rsidRPr="00FE3AA1">
                <w:rPr>
                  <w:noProof/>
                  <w:sz w:val="22"/>
                  <w:szCs w:val="24"/>
                </w:rPr>
                <w:t>. Last modified 2022. Accessed September 28, 2022. https://www.beritasatu.com/lifestyle/876043/6-juta-data-pasien-rs-bocor-ini-risiko-yang-mengintai.</w:t>
              </w:r>
            </w:p>
            <w:p w14:paraId="2BABFAB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Hogan, Ross. “Online Scams in Indonesia: 26% of Consumers Become Victim of Fraud.” Last modified 2016. Accessed September 27, 2022. https://www.indonesia-investments.com/id/news/todays-headlines/online-scams-in-indonesia-26-of-consumers-become-victim-of-fraud/item6871.</w:t>
              </w:r>
            </w:p>
            <w:p w14:paraId="7FBF253C"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Internet Society. “Internet Society Webinar: GDPR: Novelties, Challenges and Opportunities.” </w:t>
              </w:r>
              <w:r w:rsidRPr="00FE3AA1">
                <w:rPr>
                  <w:i/>
                  <w:iCs/>
                  <w:noProof/>
                  <w:sz w:val="22"/>
                  <w:szCs w:val="24"/>
                </w:rPr>
                <w:t>Internet Society</w:t>
              </w:r>
              <w:r w:rsidRPr="00FE3AA1">
                <w:rPr>
                  <w:noProof/>
                  <w:sz w:val="22"/>
                  <w:szCs w:val="24"/>
                </w:rPr>
                <w:t>. Last modified 2018. https://www.internetsociety.org/events/gdpr-webinar/.</w:t>
              </w:r>
            </w:p>
            <w:p w14:paraId="6304634F"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Irwin, Luke. “Human Error Is Responsible for 82% of Data Breaches.” Last modified 2022. Accessed October 4, 2022. https://www.grcelearning.com/blog/human-error-is-responsible-for-85-of-data-breaches#:~:text=According to Verizon’s 2022 Data,to access the organisation’s systems.</w:t>
              </w:r>
            </w:p>
            <w:p w14:paraId="3A62B8EC"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 “The GDPR: Understanding the 6 Data Protection Principles.” </w:t>
              </w:r>
              <w:r w:rsidRPr="00FE3AA1">
                <w:rPr>
                  <w:i/>
                  <w:iCs/>
                  <w:noProof/>
                  <w:sz w:val="22"/>
                  <w:szCs w:val="24"/>
                </w:rPr>
                <w:t>9 December 2021</w:t>
              </w:r>
              <w:r w:rsidRPr="00FE3AA1">
                <w:rPr>
                  <w:noProof/>
                  <w:sz w:val="22"/>
                  <w:szCs w:val="24"/>
                </w:rPr>
                <w:t>. Last modified 2021. Accessed September 28, 2022. https://www.itgovernance.eu/blog/en/the-gdpr-understanding-the-6-data-protection-principles.</w:t>
              </w:r>
            </w:p>
            <w:p w14:paraId="785D0CCC"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Jain, S. N. “Legal Research and Methodology.” </w:t>
              </w:r>
              <w:r w:rsidRPr="00FE3AA1">
                <w:rPr>
                  <w:i/>
                  <w:iCs/>
                  <w:noProof/>
                  <w:sz w:val="22"/>
                  <w:szCs w:val="24"/>
                </w:rPr>
                <w:t>Journal of the Indian Law Institute</w:t>
              </w:r>
              <w:r w:rsidRPr="00FE3AA1">
                <w:rPr>
                  <w:noProof/>
                  <w:sz w:val="22"/>
                  <w:szCs w:val="24"/>
                </w:rPr>
                <w:t xml:space="preserve"> 14, no. 4 (1972): 487–500. https://www.jstor.org/stable/43950155.</w:t>
              </w:r>
            </w:p>
            <w:p w14:paraId="24C0F0DC"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Journal, HIPAA. </w:t>
              </w:r>
              <w:r w:rsidRPr="00FE3AA1">
                <w:rPr>
                  <w:i/>
                  <w:iCs/>
                  <w:noProof/>
                  <w:sz w:val="22"/>
                  <w:szCs w:val="24"/>
                </w:rPr>
                <w:t>Healthcare Data Breach Statistics</w:t>
              </w:r>
              <w:r w:rsidRPr="00FE3AA1">
                <w:rPr>
                  <w:noProof/>
                  <w:sz w:val="22"/>
                  <w:szCs w:val="24"/>
                </w:rPr>
                <w:t>, 2022. https://www.hipaajournal.com/healthcare-data-breach-statistics/.</w:t>
              </w:r>
            </w:p>
            <w:p w14:paraId="18E5006A"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Kaspersky. “What Is Data Theft and How to Prevent It.” Accessed October 2, 2022. https://www.kaspersky.com/resource-center/threats/data-theft.</w:t>
              </w:r>
            </w:p>
            <w:p w14:paraId="244DA9D7"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Koh, Hian Chye, and Gerald Tan. “Data Mining Applications in Healthcare.” </w:t>
              </w:r>
              <w:r w:rsidRPr="00FE3AA1">
                <w:rPr>
                  <w:i/>
                  <w:iCs/>
                  <w:noProof/>
                  <w:sz w:val="22"/>
                  <w:szCs w:val="24"/>
                </w:rPr>
                <w:t>Journal of healthcare information management : JHIM</w:t>
              </w:r>
              <w:r w:rsidRPr="00FE3AA1">
                <w:rPr>
                  <w:noProof/>
                  <w:sz w:val="22"/>
                  <w:szCs w:val="24"/>
                </w:rPr>
                <w:t xml:space="preserve"> 19, no. 2 (2005): 64–72.</w:t>
              </w:r>
            </w:p>
            <w:p w14:paraId="527973F2"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Kominfo. “Rapat Paripurna DPR Sahkan RUU PDP.” Last modified 2022. Accessed October 16, </w:t>
              </w:r>
              <w:r w:rsidRPr="00FE3AA1">
                <w:rPr>
                  <w:noProof/>
                  <w:sz w:val="22"/>
                  <w:szCs w:val="24"/>
                </w:rPr>
                <w:t>2022. https://aptika.kominfo.go.id/2022/09/rapat-paripurna-dpr-sahkan-ruu-pdp/.</w:t>
              </w:r>
            </w:p>
            <w:p w14:paraId="1861F8C3"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Kong, Joe, Xiaoxi Fan, and K.P. Chow. </w:t>
              </w:r>
              <w:r w:rsidRPr="00FE3AA1">
                <w:rPr>
                  <w:i/>
                  <w:iCs/>
                  <w:noProof/>
                  <w:sz w:val="22"/>
                  <w:szCs w:val="24"/>
                </w:rPr>
                <w:t>Privacy and Legal Issues in Cloud Computing: Introduction to Cloud Computing and Security Issues</w:t>
              </w:r>
              <w:r w:rsidRPr="00FE3AA1">
                <w:rPr>
                  <w:noProof/>
                  <w:sz w:val="22"/>
                  <w:szCs w:val="24"/>
                </w:rPr>
                <w:t>. UK: Edwar Elgar Publishing, 2015.</w:t>
              </w:r>
            </w:p>
            <w:p w14:paraId="01910F42"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Koyame-Marsh, Rita O., and John L. Marsh. “Data Breaches and Identity Theft: Costs and Responses.” </w:t>
              </w:r>
              <w:r w:rsidRPr="00FE3AA1">
                <w:rPr>
                  <w:i/>
                  <w:iCs/>
                  <w:noProof/>
                  <w:sz w:val="22"/>
                  <w:szCs w:val="24"/>
                </w:rPr>
                <w:t>IOSR Journal of Economics and Finance (IOSR-JEF)</w:t>
              </w:r>
              <w:r w:rsidRPr="00FE3AA1">
                <w:rPr>
                  <w:noProof/>
                  <w:sz w:val="22"/>
                  <w:szCs w:val="24"/>
                </w:rPr>
                <w:t xml:space="preserve"> 5, no. 6 (2014): 36–45. www.iosrjournals.org.</w:t>
              </w:r>
            </w:p>
            <w:p w14:paraId="35031638"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 “Data Breaches and Identity Theft: Costs and Responses.” </w:t>
              </w:r>
              <w:r w:rsidRPr="00FE3AA1">
                <w:rPr>
                  <w:i/>
                  <w:iCs/>
                  <w:noProof/>
                  <w:sz w:val="22"/>
                  <w:szCs w:val="24"/>
                </w:rPr>
                <w:t>IOSR Journal of Economics and Finance (IOSR-JEF)</w:t>
              </w:r>
              <w:r w:rsidRPr="00FE3AA1">
                <w:rPr>
                  <w:noProof/>
                  <w:sz w:val="22"/>
                  <w:szCs w:val="24"/>
                </w:rPr>
                <w:t xml:space="preserve"> 5, no. 6 (2014): 36–45.</w:t>
              </w:r>
            </w:p>
            <w:p w14:paraId="52782182"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Langbroek, Philip, Kees van den Bos, Marc Simon Thomas, Michael Milo, and Wibo van Rossum. “Methodology of Legal Research: Challenges and Opportunities.” </w:t>
              </w:r>
              <w:r w:rsidRPr="00FE3AA1">
                <w:rPr>
                  <w:i/>
                  <w:iCs/>
                  <w:noProof/>
                  <w:sz w:val="22"/>
                  <w:szCs w:val="24"/>
                </w:rPr>
                <w:t>Utrecht Law Review</w:t>
              </w:r>
              <w:r w:rsidRPr="00FE3AA1">
                <w:rPr>
                  <w:noProof/>
                  <w:sz w:val="22"/>
                  <w:szCs w:val="24"/>
                </w:rPr>
                <w:t xml:space="preserve"> 13, no. 3 (2017): 1–8.</w:t>
              </w:r>
            </w:p>
            <w:p w14:paraId="65AA6249"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Law Insider. “Medical Reports Definition.” Last modified 2022. Accessed October 4, 2022. https://www.lawinsider.com/dictionary/medical-reports.</w:t>
              </w:r>
            </w:p>
            <w:p w14:paraId="54897BCF"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Lowe, Robert, and Geoffrey Woodroffe. </w:t>
              </w:r>
              <w:r w:rsidRPr="00FE3AA1">
                <w:rPr>
                  <w:i/>
                  <w:iCs/>
                  <w:noProof/>
                  <w:sz w:val="22"/>
                  <w:szCs w:val="24"/>
                </w:rPr>
                <w:t>Consumer Law and Practice</w:t>
              </w:r>
              <w:r w:rsidRPr="00FE3AA1">
                <w:rPr>
                  <w:noProof/>
                  <w:sz w:val="22"/>
                  <w:szCs w:val="24"/>
                </w:rPr>
                <w:t>. Sixth Edit. London, UK: Thomson, Sweet &amp; Maxwell, 2004.</w:t>
              </w:r>
            </w:p>
            <w:p w14:paraId="395FA69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M.D., Pradeep. “Legal Research- Descriptive Analysis on Doctrinal Methodology.” </w:t>
              </w:r>
              <w:r w:rsidRPr="00FE3AA1">
                <w:rPr>
                  <w:i/>
                  <w:iCs/>
                  <w:noProof/>
                  <w:sz w:val="22"/>
                  <w:szCs w:val="24"/>
                </w:rPr>
                <w:t>International Journal of Management, Technology, and Social Sciences</w:t>
              </w:r>
              <w:r w:rsidRPr="00FE3AA1">
                <w:rPr>
                  <w:noProof/>
                  <w:sz w:val="22"/>
                  <w:szCs w:val="24"/>
                </w:rPr>
                <w:t xml:space="preserve"> 4, no. 2 (2019): 95–103.</w:t>
              </w:r>
            </w:p>
            <w:p w14:paraId="2587BCE3"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Martin, Kelly D., Abhishek Borah, and Robert W. Palmatier. “Data Privacy: Effects on Customer and Firm Performance.” </w:t>
              </w:r>
              <w:r w:rsidRPr="00FE3AA1">
                <w:rPr>
                  <w:i/>
                  <w:iCs/>
                  <w:noProof/>
                  <w:sz w:val="22"/>
                  <w:szCs w:val="24"/>
                </w:rPr>
                <w:t>Journal of Marketing</w:t>
              </w:r>
              <w:r w:rsidRPr="00FE3AA1">
                <w:rPr>
                  <w:noProof/>
                  <w:sz w:val="22"/>
                  <w:szCs w:val="24"/>
                </w:rPr>
                <w:t xml:space="preserve"> 81, no. 1 (2017): 36–58.</w:t>
              </w:r>
            </w:p>
            <w:p w14:paraId="636620DC"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Martin, Nik. “Indonesia’s Jakarta Hit by Major Power Blackout.” Last modified 2019. Accessed October 2, 2019. https://www.dw.com/en/indonesias-jakarta-hit-by-major-power-blackout/a-49884728.</w:t>
              </w:r>
            </w:p>
            <w:p w14:paraId="6007944D"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Della Mea, Vincenzo. “What Is E-Health (2): The Death of Telemedicine?” </w:t>
              </w:r>
              <w:r w:rsidRPr="00FE3AA1">
                <w:rPr>
                  <w:i/>
                  <w:iCs/>
                  <w:noProof/>
                  <w:sz w:val="22"/>
                  <w:szCs w:val="24"/>
                </w:rPr>
                <w:t>Journal of Medical Internet Research</w:t>
              </w:r>
              <w:r w:rsidRPr="00FE3AA1">
                <w:rPr>
                  <w:noProof/>
                  <w:sz w:val="22"/>
                  <w:szCs w:val="24"/>
                </w:rPr>
                <w:t xml:space="preserve"> 3, no. 2 (2001): 6–7.</w:t>
              </w:r>
            </w:p>
            <w:p w14:paraId="1DD13BE5"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Media Infokes. “Penggunaan Aplikasi Kesehatan Digital Di Indonesia, Hanya 10% Dari Total Penduduk.” Last modified 2019. Accessed October 4, 2022. https://media-infokes.com/2019/08/22/penggunaan-aplikasi-kesehatan-digital-di-indonesia-hanya-10-dari-total-penduduk/.</w:t>
              </w:r>
            </w:p>
            <w:p w14:paraId="7EF38592"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Microsoft. “GDPR Simplified: A Guide for Your Small Business.” </w:t>
              </w:r>
              <w:r w:rsidRPr="00FE3AA1">
                <w:rPr>
                  <w:i/>
                  <w:iCs/>
                  <w:noProof/>
                  <w:sz w:val="22"/>
                  <w:szCs w:val="24"/>
                </w:rPr>
                <w:t>14 September 2022</w:t>
              </w:r>
              <w:r w:rsidRPr="00FE3AA1">
                <w:rPr>
                  <w:noProof/>
                  <w:sz w:val="22"/>
                  <w:szCs w:val="24"/>
                </w:rPr>
                <w:t>. Last modified 2022. Accessed September 28, 2022. https://learn.microsoft.com/en-us/microsoft-365/admin/security-and-compliance/gdpr-compliance?view=o365-worldwide.</w:t>
              </w:r>
            </w:p>
            <w:p w14:paraId="5F5839E2"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lastRenderedPageBreak/>
                <w:t xml:space="preserve">Mitchell, John. “Increasing the Cost-Effectiveness of Telemedicine by Embracing e-Health.” </w:t>
              </w:r>
              <w:r w:rsidRPr="00FE3AA1">
                <w:rPr>
                  <w:i/>
                  <w:iCs/>
                  <w:noProof/>
                  <w:sz w:val="22"/>
                  <w:szCs w:val="24"/>
                </w:rPr>
                <w:t>Sage Joulnals</w:t>
              </w:r>
              <w:r w:rsidRPr="00FE3AA1">
                <w:rPr>
                  <w:noProof/>
                  <w:sz w:val="22"/>
                  <w:szCs w:val="24"/>
                </w:rPr>
                <w:t xml:space="preserve"> 6, no. 1 (2000). https://journals.sagepub.com/doi/10.1258/1357633001934500.</w:t>
              </w:r>
            </w:p>
            <w:p w14:paraId="56B17914"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Norton. “Why Hackers Love Public Wi-Fi.” Last modified 2019. Accessed October 12, 2022. https://us.norton.com/blog/wifi/why-hackers-love-public-wifi#.</w:t>
              </w:r>
            </w:p>
            <w:p w14:paraId="717ED645"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Okereafor, Kenneth, and Oluwasegun Adelaiye. “Randomized Cyber Attack Simulation Model: A Cybersecurity Mitigation Proposal for Post COVID-19 Digital Era.” </w:t>
              </w:r>
              <w:r w:rsidRPr="00FE3AA1">
                <w:rPr>
                  <w:i/>
                  <w:iCs/>
                  <w:noProof/>
                  <w:sz w:val="22"/>
                  <w:szCs w:val="24"/>
                </w:rPr>
                <w:t>International Journal of Recent Engineering Research and Development (IJRERD)</w:t>
              </w:r>
              <w:r w:rsidRPr="00FE3AA1">
                <w:rPr>
                  <w:noProof/>
                  <w:sz w:val="22"/>
                  <w:szCs w:val="24"/>
                </w:rPr>
                <w:t xml:space="preserve"> 05, no. 07 (2020): 61–72. www.ijrerd.com.</w:t>
              </w:r>
            </w:p>
            <w:p w14:paraId="29EF0563"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Ollmann, Gunter. </w:t>
              </w:r>
              <w:r w:rsidRPr="00FE3AA1">
                <w:rPr>
                  <w:i/>
                  <w:iCs/>
                  <w:noProof/>
                  <w:sz w:val="22"/>
                  <w:szCs w:val="24"/>
                </w:rPr>
                <w:t>The Phishing Guide</w:t>
              </w:r>
              <w:r w:rsidRPr="00FE3AA1">
                <w:rPr>
                  <w:noProof/>
                  <w:sz w:val="22"/>
                  <w:szCs w:val="24"/>
                </w:rPr>
                <w:t xml:space="preserve">. </w:t>
              </w:r>
              <w:r w:rsidRPr="00FE3AA1">
                <w:rPr>
                  <w:i/>
                  <w:iCs/>
                  <w:noProof/>
                  <w:sz w:val="22"/>
                  <w:szCs w:val="24"/>
                </w:rPr>
                <w:t>IBM</w:t>
              </w:r>
              <w:r w:rsidRPr="00FE3AA1">
                <w:rPr>
                  <w:noProof/>
                  <w:sz w:val="22"/>
                  <w:szCs w:val="24"/>
                </w:rPr>
                <w:t>, 2007. https://www.scribd.com/document/219802442/The-Phishing-Guide-Understanding-Preventing-Phishing-Attacks-IBM-Internet-Security-Systems.</w:t>
              </w:r>
            </w:p>
            <w:p w14:paraId="51AE653B"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Pasquale, Frank. </w:t>
              </w:r>
              <w:r w:rsidRPr="00FE3AA1">
                <w:rPr>
                  <w:i/>
                  <w:iCs/>
                  <w:noProof/>
                  <w:sz w:val="22"/>
                  <w:szCs w:val="24"/>
                </w:rPr>
                <w:t>The Black Box Society, the Secret Algorithms That Control Money and Information</w:t>
              </w:r>
              <w:r w:rsidRPr="00FE3AA1">
                <w:rPr>
                  <w:noProof/>
                  <w:sz w:val="22"/>
                  <w:szCs w:val="24"/>
                </w:rPr>
                <w:t>. Cambridge: MA: Harvard University Press., 2015.</w:t>
              </w:r>
            </w:p>
            <w:p w14:paraId="2A6E601A"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Peretti, K. K. “Data Breaches: What the Underground World of Carding Reveals.” </w:t>
              </w:r>
              <w:r w:rsidRPr="00FE3AA1">
                <w:rPr>
                  <w:i/>
                  <w:iCs/>
                  <w:noProof/>
                  <w:sz w:val="22"/>
                  <w:szCs w:val="24"/>
                </w:rPr>
                <w:t>Santa Clara Computer &amp; High Tech</w:t>
              </w:r>
              <w:r w:rsidRPr="00FE3AA1">
                <w:rPr>
                  <w:noProof/>
                  <w:sz w:val="22"/>
                  <w:szCs w:val="24"/>
                </w:rPr>
                <w:t xml:space="preserve"> 25, no. 2 (2008): 375–413.</w:t>
              </w:r>
            </w:p>
            <w:p w14:paraId="67698CDA"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Rahman, Rizal, Nazura Abdul Manap, and Sohaib Mukhtar. “Hacking in Cyberspace Identity Theft: A Comparative Analysis of Malaysia, United Kingdom, and Iran.” </w:t>
              </w:r>
              <w:r w:rsidRPr="00FE3AA1">
                <w:rPr>
                  <w:i/>
                  <w:iCs/>
                  <w:noProof/>
                  <w:sz w:val="22"/>
                  <w:szCs w:val="24"/>
                </w:rPr>
                <w:t>Baltica</w:t>
              </w:r>
              <w:r w:rsidRPr="00FE3AA1">
                <w:rPr>
                  <w:noProof/>
                  <w:sz w:val="22"/>
                  <w:szCs w:val="24"/>
                </w:rPr>
                <w:t xml:space="preserve"> 23, no. 11 (2020): 67–86. https://www.researchgate.net/publication/347935764.</w:t>
              </w:r>
            </w:p>
            <w:p w14:paraId="574D6501"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Rizkinaswara, Leski. “Tantangan Pelindungan Data Pribadi Di Sektor Kesehatan.” </w:t>
              </w:r>
              <w:r w:rsidRPr="00FE3AA1">
                <w:rPr>
                  <w:i/>
                  <w:iCs/>
                  <w:noProof/>
                  <w:sz w:val="22"/>
                  <w:szCs w:val="24"/>
                </w:rPr>
                <w:t>Kominfo</w:t>
              </w:r>
              <w:r w:rsidRPr="00FE3AA1">
                <w:rPr>
                  <w:noProof/>
                  <w:sz w:val="22"/>
                  <w:szCs w:val="24"/>
                </w:rPr>
                <w:t>. Accessed September 27, 2022. https://aptika.kominfo.go.id/2020/06/tantangan-pelindungan-data-pribadi-di-sektor-kesehatan.</w:t>
              </w:r>
            </w:p>
            <w:p w14:paraId="4F28C116"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Robertson, Geoffrey, and Andrew Nicol. </w:t>
              </w:r>
              <w:r w:rsidRPr="00FE3AA1">
                <w:rPr>
                  <w:i/>
                  <w:iCs/>
                  <w:noProof/>
                  <w:sz w:val="22"/>
                  <w:szCs w:val="24"/>
                </w:rPr>
                <w:t>Media Law</w:t>
              </w:r>
              <w:r w:rsidRPr="00FE3AA1">
                <w:rPr>
                  <w:noProof/>
                  <w:sz w:val="22"/>
                  <w:szCs w:val="24"/>
                </w:rPr>
                <w:t>. Fifth Edit. London, UK: Penguin Books, n.d.</w:t>
              </w:r>
            </w:p>
            <w:p w14:paraId="69844E25"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Rosadi, Sinta. “Implikasi Penerapan Program E-Health Dihubungkan Dengan Perlindungan Data Pribadi.” </w:t>
              </w:r>
              <w:r w:rsidRPr="00FE3AA1">
                <w:rPr>
                  <w:i/>
                  <w:iCs/>
                  <w:noProof/>
                  <w:sz w:val="22"/>
                  <w:szCs w:val="24"/>
                </w:rPr>
                <w:t>Arena Hukum</w:t>
              </w:r>
              <w:r w:rsidRPr="00FE3AA1">
                <w:rPr>
                  <w:noProof/>
                  <w:sz w:val="22"/>
                  <w:szCs w:val="24"/>
                </w:rPr>
                <w:t xml:space="preserve"> 9, no. 3 (2016): 403–420.</w:t>
              </w:r>
            </w:p>
            <w:p w14:paraId="13B6C387"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Salahdine, Fatima, and Naima Kaabouch. “Social Engineering Attacks: A Survey.” </w:t>
              </w:r>
              <w:r w:rsidRPr="00FE3AA1">
                <w:rPr>
                  <w:i/>
                  <w:iCs/>
                  <w:noProof/>
                  <w:sz w:val="22"/>
                  <w:szCs w:val="24"/>
                </w:rPr>
                <w:t>Future Internet</w:t>
              </w:r>
              <w:r w:rsidRPr="00FE3AA1">
                <w:rPr>
                  <w:noProof/>
                  <w:sz w:val="22"/>
                  <w:szCs w:val="24"/>
                </w:rPr>
                <w:t xml:space="preserve"> 11, no. 4 (2019).</w:t>
              </w:r>
            </w:p>
            <w:p w14:paraId="6577BC9A"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Samuelson, Pamela. “Privacy as Intellectual Property?” </w:t>
              </w:r>
              <w:r w:rsidRPr="00FE3AA1">
                <w:rPr>
                  <w:i/>
                  <w:iCs/>
                  <w:noProof/>
                  <w:sz w:val="22"/>
                  <w:szCs w:val="24"/>
                </w:rPr>
                <w:t>Stanford Law Review</w:t>
              </w:r>
              <w:r w:rsidRPr="00FE3AA1">
                <w:rPr>
                  <w:noProof/>
                  <w:sz w:val="22"/>
                  <w:szCs w:val="24"/>
                </w:rPr>
                <w:t xml:space="preserve"> 52, no. 5 (2000): 1125–73.</w:t>
              </w:r>
            </w:p>
            <w:p w14:paraId="3D8B4061"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Saputra, Andi. “Jual Database Nasabah Perbankan, Warga Tangsel Dibui 9 Bulan.” </w:t>
              </w:r>
              <w:r w:rsidRPr="00FE3AA1">
                <w:rPr>
                  <w:i/>
                  <w:iCs/>
                  <w:noProof/>
                  <w:sz w:val="22"/>
                  <w:szCs w:val="24"/>
                </w:rPr>
                <w:t>Detik News</w:t>
              </w:r>
              <w:r w:rsidRPr="00FE3AA1">
                <w:rPr>
                  <w:noProof/>
                  <w:sz w:val="22"/>
                  <w:szCs w:val="24"/>
                </w:rPr>
                <w:t>. Last modified 2019. Accessed October 2, 2022. https://news.detik.com/berita/d-4588549/jual-</w:t>
              </w:r>
              <w:r w:rsidRPr="00FE3AA1">
                <w:rPr>
                  <w:noProof/>
                  <w:sz w:val="22"/>
                  <w:szCs w:val="24"/>
                </w:rPr>
                <w:t>database-nasabah-perbankan-warga-tangsel-dibui-9-bulan.</w:t>
              </w:r>
            </w:p>
            <w:p w14:paraId="22319A50"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Shankar, Nithya Mohammed, Zareef. “Surviving Data Breaches: A Multiple Case Study Analysis.” </w:t>
              </w:r>
              <w:r w:rsidRPr="00FE3AA1">
                <w:rPr>
                  <w:i/>
                  <w:iCs/>
                  <w:noProof/>
                  <w:sz w:val="22"/>
                  <w:szCs w:val="24"/>
                </w:rPr>
                <w:t>Journal of Comparative International Management</w:t>
              </w:r>
              <w:r w:rsidRPr="00FE3AA1">
                <w:rPr>
                  <w:noProof/>
                  <w:sz w:val="22"/>
                  <w:szCs w:val="24"/>
                </w:rPr>
                <w:t xml:space="preserve"> 23, no. 1 (2020): 35–54.</w:t>
              </w:r>
            </w:p>
            <w:p w14:paraId="63F9B711"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Soekanto, Soerjono. </w:t>
              </w:r>
              <w:r w:rsidRPr="00FE3AA1">
                <w:rPr>
                  <w:i/>
                  <w:iCs/>
                  <w:noProof/>
                  <w:sz w:val="22"/>
                  <w:szCs w:val="24"/>
                </w:rPr>
                <w:t>Pengantar Penelitian Hukum</w:t>
              </w:r>
              <w:r w:rsidRPr="00FE3AA1">
                <w:rPr>
                  <w:noProof/>
                  <w:sz w:val="22"/>
                  <w:szCs w:val="24"/>
                </w:rPr>
                <w:t>. Cet. 3. Jakarta: Universitas Indonesia, 1986.</w:t>
              </w:r>
            </w:p>
            <w:p w14:paraId="7DF0F65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Source Defense. “What Is Data Theft?” Last modified 2022. Accessed October 3, 2022. https://sourcedefense.com/glossary/what-is-data-theft/.</w:t>
              </w:r>
            </w:p>
            <w:p w14:paraId="20286345"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“What Is Data Theft?”</w:t>
              </w:r>
            </w:p>
            <w:p w14:paraId="48750FE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Sudibyo, Agus. </w:t>
              </w:r>
              <w:r w:rsidRPr="00FE3AA1">
                <w:rPr>
                  <w:i/>
                  <w:iCs/>
                  <w:noProof/>
                  <w:sz w:val="22"/>
                  <w:szCs w:val="24"/>
                </w:rPr>
                <w:t>Jagad Digital</w:t>
              </w:r>
              <w:r w:rsidRPr="00FE3AA1">
                <w:rPr>
                  <w:noProof/>
                  <w:sz w:val="22"/>
                  <w:szCs w:val="24"/>
                </w:rPr>
                <w:t>. Jakarta: Kepustakaan Populer Gramedia, 2019.</w:t>
              </w:r>
            </w:p>
            <w:p w14:paraId="4DF0EA56"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Tamburri, Damian A. “Design Principles for the General Data Protection Regulation (GDPR): A Formal Concept Analysis and Its Evaluation.” </w:t>
              </w:r>
              <w:r w:rsidRPr="00FE3AA1">
                <w:rPr>
                  <w:i/>
                  <w:iCs/>
                  <w:noProof/>
                  <w:sz w:val="22"/>
                  <w:szCs w:val="24"/>
                </w:rPr>
                <w:t>Information Systems</w:t>
              </w:r>
              <w:r w:rsidRPr="00FE3AA1">
                <w:rPr>
                  <w:noProof/>
                  <w:sz w:val="22"/>
                  <w:szCs w:val="24"/>
                </w:rPr>
                <w:t xml:space="preserve"> 91, no. 101469 (n.d.). https://www.sciencedirect.com/science/article/pii/S0306437919305216?via%3Dihub#!</w:t>
              </w:r>
            </w:p>
            <w:p w14:paraId="2E5ACD05"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Trautman, L. J., and P Ormerod. “Corporate Directors’ and Officers’ Cybersecurity Standard of Care: The Yahoo Data Breach.” </w:t>
              </w:r>
              <w:r w:rsidRPr="00FE3AA1">
                <w:rPr>
                  <w:i/>
                  <w:iCs/>
                  <w:noProof/>
                  <w:sz w:val="22"/>
                  <w:szCs w:val="24"/>
                </w:rPr>
                <w:t>American University Law Review</w:t>
              </w:r>
              <w:r w:rsidRPr="00FE3AA1">
                <w:rPr>
                  <w:noProof/>
                  <w:sz w:val="22"/>
                  <w:szCs w:val="24"/>
                </w:rPr>
                <w:t xml:space="preserve"> 66 (2017): 1231–1291.</w:t>
              </w:r>
            </w:p>
            <w:p w14:paraId="6C78023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usa.gov. “Identity Theft.” Last modified 2022. Accessed October 3, 2022. https://www.usa.gov/identity-theft.</w:t>
              </w:r>
            </w:p>
            <w:p w14:paraId="52FB0506"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verizon.com. “2022 Data Breach Investigations Report.” Last modified 2022. Accessed October 4, 2022. https://www.verizon.com/business/resources/reports/dbir/.</w:t>
              </w:r>
            </w:p>
            <w:p w14:paraId="02FCA4C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Virmani, Charu, Neha Kaushik, Mohak, Vishnu Mathur, and Sanskar Saxena. “Analysis of Cyber Attacks and Security Intelligence: Identity Theft.” </w:t>
              </w:r>
              <w:r w:rsidRPr="00FE3AA1">
                <w:rPr>
                  <w:i/>
                  <w:iCs/>
                  <w:noProof/>
                  <w:sz w:val="22"/>
                  <w:szCs w:val="24"/>
                </w:rPr>
                <w:t>Indian Journal of Science and Technology</w:t>
              </w:r>
              <w:r w:rsidRPr="00FE3AA1">
                <w:rPr>
                  <w:noProof/>
                  <w:sz w:val="22"/>
                  <w:szCs w:val="24"/>
                </w:rPr>
                <w:t xml:space="preserve"> 13, no. 25 (2020): 2529–2536.</w:t>
              </w:r>
            </w:p>
            <w:p w14:paraId="314B1C59"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Walker, Clive, and David Wall. </w:t>
              </w:r>
              <w:r w:rsidRPr="00FE3AA1">
                <w:rPr>
                  <w:i/>
                  <w:iCs/>
                  <w:noProof/>
                  <w:sz w:val="22"/>
                  <w:szCs w:val="24"/>
                </w:rPr>
                <w:t>The Internet, Law and Society</w:t>
              </w:r>
              <w:r w:rsidRPr="00FE3AA1">
                <w:rPr>
                  <w:noProof/>
                  <w:sz w:val="22"/>
                  <w:szCs w:val="24"/>
                </w:rPr>
                <w:t>. UK: Person Education Limited, 2000.</w:t>
              </w:r>
            </w:p>
            <w:p w14:paraId="298B4DF0"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White, Jamie. “Yahoo Announces 500 Million Users Impacted by Data Breach.” </w:t>
              </w:r>
              <w:r w:rsidRPr="00FE3AA1">
                <w:rPr>
                  <w:i/>
                  <w:iCs/>
                  <w:noProof/>
                  <w:sz w:val="22"/>
                  <w:szCs w:val="24"/>
                </w:rPr>
                <w:t>2021</w:t>
              </w:r>
              <w:r w:rsidRPr="00FE3AA1">
                <w:rPr>
                  <w:noProof/>
                  <w:sz w:val="22"/>
                  <w:szCs w:val="24"/>
                </w:rPr>
                <w:t>. Last modified 2021. Accessed October 4, 2022. https://lifelock.norton.com/learn/data-breaches/company-data-breach.</w:t>
              </w:r>
            </w:p>
            <w:p w14:paraId="6039C53B"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WHO. “EHealth.” Last modified 2022. http://www.emro.who.int/health-topics/ehealth/.</w:t>
              </w:r>
            </w:p>
            <w:p w14:paraId="2350487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Wolford, Ben. “What Is GDPR, the EU’s New Data Protection Law?” Last modified 2022. Accessed September 27, 2022. https://gdpr.eu/what-is-gdpr/.</w:t>
              </w:r>
            </w:p>
            <w:p w14:paraId="59F9DE5E" w14:textId="77777777" w:rsidR="00FE3AA1" w:rsidRPr="00FE3AA1" w:rsidRDefault="00FE3AA1" w:rsidP="00FE3AA1">
              <w:pPr>
                <w:widowControl w:val="0"/>
                <w:autoSpaceDE w:val="0"/>
                <w:autoSpaceDN w:val="0"/>
                <w:adjustRightInd w:val="0"/>
                <w:ind w:left="480" w:hanging="480"/>
                <w:rPr>
                  <w:noProof/>
                  <w:sz w:val="22"/>
                  <w:szCs w:val="24"/>
                </w:rPr>
              </w:pPr>
              <w:r w:rsidRPr="00FE3AA1">
                <w:rPr>
                  <w:noProof/>
                  <w:sz w:val="22"/>
                  <w:szCs w:val="24"/>
                </w:rPr>
                <w:t xml:space="preserve">Zhang, Y, L. Cui, W. He, X. Lu, and S. Wang. “Behavioral Data Assists Decisions: Exploring the Mental Representation of Digital-Self.” </w:t>
              </w:r>
              <w:r w:rsidRPr="00FE3AA1">
                <w:rPr>
                  <w:i/>
                  <w:iCs/>
                  <w:noProof/>
                  <w:sz w:val="22"/>
                  <w:szCs w:val="24"/>
                </w:rPr>
                <w:t>International Journal of Crowd Science</w:t>
              </w:r>
              <w:r w:rsidRPr="00FE3AA1">
                <w:rPr>
                  <w:noProof/>
                  <w:sz w:val="22"/>
                  <w:szCs w:val="24"/>
                </w:rPr>
                <w:t xml:space="preserve"> 5, no. 2 (2021): 185–203.</w:t>
              </w:r>
            </w:p>
            <w:p w14:paraId="61D498C2" w14:textId="77777777" w:rsidR="00FE3AA1" w:rsidRPr="00FE3AA1" w:rsidRDefault="00FE3AA1" w:rsidP="00FE3AA1">
              <w:pPr>
                <w:widowControl w:val="0"/>
                <w:autoSpaceDE w:val="0"/>
                <w:autoSpaceDN w:val="0"/>
                <w:adjustRightInd w:val="0"/>
                <w:ind w:left="480" w:hanging="480"/>
                <w:rPr>
                  <w:noProof/>
                  <w:sz w:val="22"/>
                  <w:szCs w:val="24"/>
                </w:rPr>
              </w:pPr>
              <w:r w:rsidRPr="00FE3AA1">
                <w:rPr>
                  <w:i/>
                  <w:iCs/>
                  <w:noProof/>
                  <w:sz w:val="22"/>
                  <w:szCs w:val="24"/>
                </w:rPr>
                <w:lastRenderedPageBreak/>
                <w:t>Government Regulation No. 80 of 2019 on Trading Through Electronic Systems</w:t>
              </w:r>
              <w:r w:rsidRPr="00FE3AA1">
                <w:rPr>
                  <w:noProof/>
                  <w:sz w:val="22"/>
                  <w:szCs w:val="24"/>
                </w:rPr>
                <w:t>, n.d.</w:t>
              </w:r>
            </w:p>
            <w:p w14:paraId="33F537CC" w14:textId="77777777" w:rsidR="00FE3AA1" w:rsidRPr="00FE3AA1" w:rsidRDefault="00FE3AA1" w:rsidP="00FE3AA1">
              <w:pPr>
                <w:widowControl w:val="0"/>
                <w:autoSpaceDE w:val="0"/>
                <w:autoSpaceDN w:val="0"/>
                <w:adjustRightInd w:val="0"/>
                <w:ind w:left="480" w:hanging="480"/>
                <w:rPr>
                  <w:noProof/>
                  <w:sz w:val="22"/>
                  <w:szCs w:val="24"/>
                </w:rPr>
              </w:pPr>
              <w:r w:rsidRPr="00FE3AA1">
                <w:rPr>
                  <w:i/>
                  <w:iCs/>
                  <w:noProof/>
                  <w:sz w:val="22"/>
                  <w:szCs w:val="24"/>
                </w:rPr>
                <w:t>Government Regulation Number 71 Year 2019 on the Implementation of Electronic Systems and Transactions</w:t>
              </w:r>
              <w:r w:rsidRPr="00FE3AA1">
                <w:rPr>
                  <w:noProof/>
                  <w:sz w:val="22"/>
                  <w:szCs w:val="24"/>
                </w:rPr>
                <w:t>, n.d.</w:t>
              </w:r>
            </w:p>
            <w:p w14:paraId="616A6779" w14:textId="77777777" w:rsidR="00FE3AA1" w:rsidRPr="00FE3AA1" w:rsidRDefault="00FE3AA1" w:rsidP="00FE3AA1">
              <w:pPr>
                <w:widowControl w:val="0"/>
                <w:autoSpaceDE w:val="0"/>
                <w:autoSpaceDN w:val="0"/>
                <w:adjustRightInd w:val="0"/>
                <w:ind w:left="480" w:hanging="480"/>
                <w:rPr>
                  <w:noProof/>
                  <w:sz w:val="22"/>
                  <w:szCs w:val="24"/>
                </w:rPr>
              </w:pPr>
              <w:r w:rsidRPr="00FE3AA1">
                <w:rPr>
                  <w:i/>
                  <w:iCs/>
                  <w:noProof/>
                  <w:sz w:val="22"/>
                  <w:szCs w:val="24"/>
                </w:rPr>
                <w:t>Law Number 8 of 1999 Concerning Consumer Protection</w:t>
              </w:r>
              <w:r w:rsidRPr="00FE3AA1">
                <w:rPr>
                  <w:noProof/>
                  <w:sz w:val="22"/>
                  <w:szCs w:val="24"/>
                </w:rPr>
                <w:t>, n.d.</w:t>
              </w:r>
            </w:p>
            <w:p w14:paraId="4A10690B" w14:textId="77777777" w:rsidR="00FE3AA1" w:rsidRPr="00FE3AA1" w:rsidRDefault="00FE3AA1" w:rsidP="00FE3AA1">
              <w:pPr>
                <w:widowControl w:val="0"/>
                <w:autoSpaceDE w:val="0"/>
                <w:autoSpaceDN w:val="0"/>
                <w:adjustRightInd w:val="0"/>
                <w:ind w:left="480" w:hanging="480"/>
                <w:rPr>
                  <w:noProof/>
                  <w:sz w:val="22"/>
                  <w:szCs w:val="24"/>
                </w:rPr>
              </w:pPr>
              <w:r w:rsidRPr="00FE3AA1">
                <w:rPr>
                  <w:i/>
                  <w:iCs/>
                  <w:noProof/>
                  <w:sz w:val="22"/>
                  <w:szCs w:val="24"/>
                </w:rPr>
                <w:t>The Law Number 19 of 2016 Concerning Amendments to Law Number 11 of 2008 on Information and Electronic Transactions</w:t>
              </w:r>
              <w:r w:rsidRPr="00FE3AA1">
                <w:rPr>
                  <w:noProof/>
                  <w:sz w:val="22"/>
                  <w:szCs w:val="24"/>
                </w:rPr>
                <w:t>, n.d.</w:t>
              </w:r>
            </w:p>
            <w:p w14:paraId="729AADE6" w14:textId="77777777" w:rsidR="00FE3AA1" w:rsidRPr="00FE3AA1" w:rsidRDefault="00FE3AA1" w:rsidP="00FE3AA1">
              <w:pPr>
                <w:widowControl w:val="0"/>
                <w:autoSpaceDE w:val="0"/>
                <w:autoSpaceDN w:val="0"/>
                <w:adjustRightInd w:val="0"/>
                <w:ind w:left="480" w:hanging="480"/>
                <w:rPr>
                  <w:noProof/>
                  <w:sz w:val="22"/>
                </w:rPr>
              </w:pPr>
              <w:r w:rsidRPr="00FE3AA1">
                <w:rPr>
                  <w:i/>
                  <w:iCs/>
                  <w:noProof/>
                  <w:sz w:val="22"/>
                  <w:szCs w:val="24"/>
                </w:rPr>
                <w:t>The Minister of Communication and Informatics No. 20 of 2016 on Protection of Personal Data in Electronic Systems</w:t>
              </w:r>
              <w:r w:rsidRPr="00FE3AA1">
                <w:rPr>
                  <w:noProof/>
                  <w:sz w:val="22"/>
                  <w:szCs w:val="24"/>
                </w:rPr>
                <w:t>, n.d.</w:t>
              </w:r>
            </w:p>
            <w:p w14:paraId="2CF9F0E1" w14:textId="45E403BE" w:rsidR="00FE3AA1" w:rsidRDefault="00FE3AA1" w:rsidP="000D09E5">
              <w:pPr>
                <w:jc w:val="both"/>
                <w:rPr>
                  <w:b/>
                  <w:bCs/>
                  <w:noProof/>
                  <w:sz w:val="22"/>
                  <w:szCs w:val="22"/>
                </w:rPr>
              </w:pPr>
              <w:r>
                <w:rPr>
                  <w:b/>
                  <w:bCs/>
                  <w:noProof/>
                  <w:sz w:val="22"/>
                  <w:szCs w:val="22"/>
                </w:rPr>
                <w:fldChar w:fldCharType="end"/>
              </w:r>
            </w:p>
            <w:p w14:paraId="11ACE06D" w14:textId="77777777" w:rsidR="004060E0" w:rsidRDefault="004060E0" w:rsidP="000D09E5">
              <w:pPr>
                <w:jc w:val="both"/>
                <w:rPr>
                  <w:b/>
                  <w:bCs/>
                  <w:noProof/>
                  <w:sz w:val="22"/>
                  <w:szCs w:val="22"/>
                </w:rPr>
              </w:pPr>
            </w:p>
            <w:p w14:paraId="65391924" w14:textId="77777777" w:rsidR="004060E0" w:rsidRDefault="004060E0" w:rsidP="000D09E5">
              <w:pPr>
                <w:jc w:val="both"/>
                <w:rPr>
                  <w:b/>
                  <w:bCs/>
                  <w:noProof/>
                  <w:sz w:val="22"/>
                  <w:szCs w:val="22"/>
                </w:rPr>
              </w:pPr>
            </w:p>
            <w:p w14:paraId="73B1F1F7" w14:textId="77777777" w:rsidR="004060E0" w:rsidRDefault="004060E0" w:rsidP="000D09E5">
              <w:pPr>
                <w:jc w:val="both"/>
                <w:rPr>
                  <w:b/>
                  <w:bCs/>
                  <w:noProof/>
                  <w:sz w:val="22"/>
                  <w:szCs w:val="22"/>
                </w:rPr>
              </w:pPr>
            </w:p>
            <w:p w14:paraId="6A23D897" w14:textId="77777777" w:rsidR="004060E0" w:rsidRDefault="004060E0" w:rsidP="000D09E5">
              <w:pPr>
                <w:jc w:val="both"/>
                <w:rPr>
                  <w:b/>
                  <w:bCs/>
                  <w:noProof/>
                  <w:sz w:val="22"/>
                  <w:szCs w:val="22"/>
                </w:rPr>
              </w:pPr>
            </w:p>
            <w:p w14:paraId="3416168C" w14:textId="77777777" w:rsidR="004060E0" w:rsidRDefault="004060E0" w:rsidP="000D09E5">
              <w:pPr>
                <w:jc w:val="both"/>
                <w:rPr>
                  <w:b/>
                  <w:bCs/>
                  <w:noProof/>
                  <w:sz w:val="22"/>
                  <w:szCs w:val="22"/>
                </w:rPr>
              </w:pPr>
            </w:p>
            <w:p w14:paraId="17628704" w14:textId="77777777" w:rsidR="004060E0" w:rsidRDefault="004060E0" w:rsidP="000D09E5">
              <w:pPr>
                <w:jc w:val="both"/>
                <w:rPr>
                  <w:b/>
                  <w:bCs/>
                  <w:noProof/>
                  <w:sz w:val="22"/>
                  <w:szCs w:val="22"/>
                </w:rPr>
              </w:pPr>
            </w:p>
            <w:p w14:paraId="3C624AFA" w14:textId="77777777" w:rsidR="004060E0" w:rsidRDefault="004060E0" w:rsidP="000D09E5">
              <w:pPr>
                <w:jc w:val="both"/>
                <w:rPr>
                  <w:b/>
                  <w:bCs/>
                  <w:noProof/>
                  <w:sz w:val="22"/>
                  <w:szCs w:val="22"/>
                </w:rPr>
              </w:pPr>
            </w:p>
            <w:p w14:paraId="237A5650" w14:textId="77777777" w:rsidR="004060E0" w:rsidRDefault="004060E0" w:rsidP="000D09E5">
              <w:pPr>
                <w:jc w:val="both"/>
                <w:rPr>
                  <w:b/>
                  <w:bCs/>
                  <w:noProof/>
                  <w:sz w:val="22"/>
                  <w:szCs w:val="22"/>
                </w:rPr>
              </w:pPr>
            </w:p>
            <w:p w14:paraId="73CAB58B" w14:textId="77777777" w:rsidR="004060E0" w:rsidRDefault="004060E0" w:rsidP="000D09E5">
              <w:pPr>
                <w:jc w:val="both"/>
                <w:rPr>
                  <w:b/>
                  <w:bCs/>
                  <w:noProof/>
                  <w:sz w:val="22"/>
                  <w:szCs w:val="22"/>
                </w:rPr>
              </w:pPr>
            </w:p>
            <w:p w14:paraId="176554C7" w14:textId="77777777" w:rsidR="004060E0" w:rsidRDefault="004060E0" w:rsidP="000D09E5">
              <w:pPr>
                <w:jc w:val="both"/>
                <w:rPr>
                  <w:b/>
                  <w:bCs/>
                  <w:noProof/>
                  <w:sz w:val="22"/>
                  <w:szCs w:val="22"/>
                </w:rPr>
              </w:pPr>
            </w:p>
            <w:p w14:paraId="268E1278" w14:textId="77777777" w:rsidR="004060E0" w:rsidRDefault="004060E0" w:rsidP="000D09E5">
              <w:pPr>
                <w:jc w:val="both"/>
                <w:rPr>
                  <w:b/>
                  <w:bCs/>
                  <w:noProof/>
                  <w:sz w:val="22"/>
                  <w:szCs w:val="22"/>
                </w:rPr>
              </w:pPr>
            </w:p>
            <w:p w14:paraId="6F2E6B49" w14:textId="257221F9" w:rsidR="00BE2A53" w:rsidRPr="00866E36" w:rsidRDefault="001D311C" w:rsidP="000D09E5">
              <w:pPr>
                <w:jc w:val="both"/>
                <w:rPr>
                  <w:sz w:val="22"/>
                  <w:szCs w:val="22"/>
                </w:rPr>
              </w:pPr>
            </w:p>
          </w:sdtContent>
        </w:sdt>
      </w:sdtContent>
    </w:sdt>
    <w:p w14:paraId="0881B4C1" w14:textId="7749CFDE" w:rsidR="00BE2A53" w:rsidRPr="00866E36" w:rsidRDefault="00BE2A53" w:rsidP="007A0E09">
      <w:pPr>
        <w:jc w:val="both"/>
        <w:rPr>
          <w:sz w:val="22"/>
          <w:szCs w:val="22"/>
        </w:rPr>
      </w:pPr>
    </w:p>
    <w:p w14:paraId="656389E3" w14:textId="77777777" w:rsidR="00BA24AE" w:rsidRPr="00866E36" w:rsidRDefault="00BA24AE" w:rsidP="007A0E09">
      <w:pPr>
        <w:jc w:val="both"/>
        <w:rPr>
          <w:sz w:val="22"/>
          <w:szCs w:val="22"/>
        </w:rPr>
      </w:pPr>
    </w:p>
    <w:p w14:paraId="36ADAF38" w14:textId="77777777" w:rsidR="00BA24AE" w:rsidRPr="00866E36" w:rsidRDefault="00BA24AE" w:rsidP="007A0E09">
      <w:pPr>
        <w:jc w:val="both"/>
        <w:rPr>
          <w:sz w:val="22"/>
          <w:szCs w:val="22"/>
        </w:rPr>
      </w:pPr>
    </w:p>
    <w:p w14:paraId="785537E5" w14:textId="77777777" w:rsidR="00CB0567" w:rsidRPr="00866E36" w:rsidRDefault="00CB0567" w:rsidP="007A0E09">
      <w:pPr>
        <w:pStyle w:val="cite-boxcitation-sc-1ts84r9-0"/>
        <w:shd w:val="clear" w:color="auto" w:fill="FFFFFF"/>
        <w:jc w:val="both"/>
        <w:rPr>
          <w:sz w:val="22"/>
          <w:szCs w:val="22"/>
        </w:rPr>
      </w:pPr>
    </w:p>
    <w:p w14:paraId="50A81FBB" w14:textId="77777777" w:rsidR="00BA24AE" w:rsidRPr="00866E36" w:rsidRDefault="00BA24AE" w:rsidP="007A0E09">
      <w:pPr>
        <w:jc w:val="both"/>
        <w:rPr>
          <w:sz w:val="22"/>
          <w:szCs w:val="22"/>
        </w:rPr>
      </w:pPr>
    </w:p>
    <w:p w14:paraId="228DA009" w14:textId="2E414938" w:rsidR="008803FD" w:rsidRPr="00866E36" w:rsidRDefault="008803FD" w:rsidP="007A0E09">
      <w:pPr>
        <w:ind w:firstLine="720"/>
        <w:jc w:val="both"/>
        <w:rPr>
          <w:bCs/>
          <w:color w:val="000000" w:themeColor="text1"/>
          <w:sz w:val="22"/>
          <w:szCs w:val="22"/>
          <w:lang w:val="id-ID"/>
        </w:rPr>
      </w:pPr>
    </w:p>
    <w:sectPr w:rsidR="008803FD" w:rsidRPr="00866E36" w:rsidSect="00BA24AE">
      <w:headerReference w:type="default" r:id="rId13"/>
      <w:type w:val="continuous"/>
      <w:pgSz w:w="12140" w:h="17080"/>
      <w:pgMar w:top="1276" w:right="820" w:bottom="280" w:left="1040" w:header="713" w:footer="731" w:gutter="0"/>
      <w:pgNumType w:start="291"/>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C258B" w14:textId="77777777" w:rsidR="001D311C" w:rsidRDefault="001D311C">
      <w:r>
        <w:separator/>
      </w:r>
    </w:p>
  </w:endnote>
  <w:endnote w:type="continuationSeparator" w:id="0">
    <w:p w14:paraId="6A29ED91" w14:textId="77777777" w:rsidR="001D311C" w:rsidRDefault="001D3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0A93F" w14:textId="77777777" w:rsidR="00DA5C92" w:rsidRPr="008E08D2" w:rsidRDefault="00DA5C92">
    <w:pPr>
      <w:spacing w:line="200" w:lineRule="exact"/>
      <w:rPr>
        <w:lang w:val="id-ID"/>
      </w:rPr>
    </w:pPr>
  </w:p>
  <w:p w14:paraId="39C9871E" w14:textId="77777777" w:rsidR="00DA5C92" w:rsidRDefault="00DA5C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41E17" w14:textId="77777777" w:rsidR="001D311C" w:rsidRDefault="001D311C">
      <w:r>
        <w:separator/>
      </w:r>
    </w:p>
  </w:footnote>
  <w:footnote w:type="continuationSeparator" w:id="0">
    <w:p w14:paraId="493E8D70" w14:textId="77777777" w:rsidR="001D311C" w:rsidRDefault="001D311C">
      <w:r>
        <w:continuationSeparator/>
      </w:r>
    </w:p>
  </w:footnote>
  <w:footnote w:id="1">
    <w:p w14:paraId="5C743195" w14:textId="77777777" w:rsidR="00FB0D84" w:rsidRPr="00B403A1" w:rsidRDefault="00FB0D84" w:rsidP="00FB0D84">
      <w:pPr>
        <w:pStyle w:val="FootnoteText"/>
        <w:ind w:firstLine="426"/>
      </w:pPr>
      <w:r w:rsidRPr="009B498D">
        <w:rPr>
          <w:rStyle w:val="FootnoteReference"/>
          <w:rFonts w:eastAsiaTheme="minorEastAsia"/>
        </w:rPr>
        <w:footnoteRef/>
      </w:r>
      <w:r>
        <w:t xml:space="preserve"> </w:t>
      </w:r>
      <w:r w:rsidRPr="00B403A1">
        <w:fldChar w:fldCharType="begin" w:fldLock="1"/>
      </w:r>
      <w:r w:rsidRPr="00B403A1">
        <w:instrText>ADDIN CSL_CITATION {"citationItems":[{"id":"ITEM-1","itemData":{"DOI":"10.1258/1357633001934500","author":[{"dropping-particle":"","family":"Mitchell","given":"John","non-dropping-particle":"","parse-names":false,"suffix":""}],"container-title":"Sage Joulnals","id":"ITEM-1","issue":"1","issued":{"date-parts":[["2000"]]},"title":"Increasing the cost-effectiveness of telemedicine by embracing e-health","type":"article-journal","volume":"6"},"uris":["http://www.mendeley.com/documents/?uuid=75264286-7bc9-4f71-a4ff-f9df1baf3a95"]}],"mendeley":{"formattedCitation":"John Mitchell, “Increasing the Cost-Effectiveness of Telemedicine by Embracing e-Health,” &lt;i&gt;Sage Joulnals&lt;/i&gt; 6, no. 1 (2000), https://journals.sagepub.com/doi/10.1258/1357633001934500.","plainTextFormattedCitation":"John Mitchell, “Increasing the Cost-Effectiveness of Telemedicine by Embracing e-Health,” Sage Joulnals 6, no. 1 (2000), https://journals.sagepub.com/doi/10.1258/1357633001934500.","previouslyFormattedCitation":"John Mitchell, “Increasing the Cost-Effectiveness of Telemedicine by Embracing e-Health,” &lt;i&gt;Sage Joulnals&lt;/i&gt; 6, no. 1 (2000), https://journals.sagepub.com/doi/10.1258/1357633001934500."},"properties":{"noteIndex":1},"schema":"https://github.com/citation-style-language/schema/raw/master/csl-citation.json"}</w:instrText>
      </w:r>
      <w:r w:rsidRPr="00B403A1">
        <w:fldChar w:fldCharType="separate"/>
      </w:r>
      <w:r w:rsidRPr="00B403A1">
        <w:rPr>
          <w:noProof/>
        </w:rPr>
        <w:t xml:space="preserve">John Mitchell, “Increasing the Cost-Effectiveness of Telemedicine by Embracing e-Health,” </w:t>
      </w:r>
      <w:r w:rsidRPr="00B403A1">
        <w:rPr>
          <w:i/>
          <w:noProof/>
        </w:rPr>
        <w:t>Sage Joulnals</w:t>
      </w:r>
      <w:r w:rsidRPr="00B403A1">
        <w:rPr>
          <w:noProof/>
        </w:rPr>
        <w:t xml:space="preserve"> 6, no. 1 (2000), https://journals.sagepub.com/doi/10.1258/1357633001934500.</w:t>
      </w:r>
      <w:r w:rsidRPr="00B403A1">
        <w:fldChar w:fldCharType="end"/>
      </w:r>
    </w:p>
  </w:footnote>
  <w:footnote w:id="2">
    <w:p w14:paraId="709F0707" w14:textId="77777777" w:rsidR="00FB0D84" w:rsidRPr="00B403A1" w:rsidRDefault="00FB0D84" w:rsidP="00FB0D84">
      <w:pPr>
        <w:pStyle w:val="FootnoteText"/>
        <w:ind w:firstLine="426"/>
      </w:pPr>
      <w:r w:rsidRPr="009B498D">
        <w:rPr>
          <w:rStyle w:val="FootnoteReference"/>
          <w:rFonts w:eastAsiaTheme="minorEastAsia"/>
        </w:rPr>
        <w:footnoteRef/>
      </w:r>
      <w:r w:rsidRPr="00B403A1">
        <w:t xml:space="preserve"> </w:t>
      </w:r>
      <w:r w:rsidRPr="00B403A1">
        <w:fldChar w:fldCharType="begin" w:fldLock="1"/>
      </w:r>
      <w:r w:rsidRPr="00B403A1">
        <w:instrText>ADDIN CSL_CITATION {"citationItems":[{"id":"ITEM-1","itemData":{"DOI":"10.2196/jmir.3.2.e22","ISSN":"14388871","author":[{"dropping-particle":"","family":"Mea","given":"Vincenzo","non-dropping-particle":"Della","parse-names":false,"suffix":""}],"container-title":"Journal of Medical Internet Research","id":"ITEM-1","issue":"2","issued":{"date-parts":[["2001"]]},"page":"6-7","title":"What is e-health (2): The death of telemedicine?","type":"article-journal","volume":"3"},"uris":["http://www.mendeley.com/documents/?uuid=aa12d2f0-31cd-46fa-9f8b-cac8cfe7dd26"]}],"mendeley":{"formattedCitation":"Vincenzo Della Mea, “What Is E-Health (2): The Death of Telemedicine?,” &lt;i&gt;Journal of Medical Internet Research&lt;/i&gt; 3, no. 2 (2001): 6–7.","plainTextFormattedCitation":"Vincenzo Della Mea, “What Is E-Health (2): The Death of Telemedicine?,” Journal of Medical Internet Research 3, no. 2 (2001): 6–7.","previouslyFormattedCitation":"Vincenzo Della Mea, “What Is E-Health (2): The Death of Telemedicine?,” &lt;i&gt;Journal of Medical Internet Research&lt;/i&gt; 3, no. 2 (2001): 6–7."},"properties":{"noteIndex":2},"schema":"https://github.com/citation-style-language/schema/raw/master/csl-citation.json"}</w:instrText>
      </w:r>
      <w:r w:rsidRPr="00B403A1">
        <w:fldChar w:fldCharType="separate"/>
      </w:r>
      <w:r w:rsidRPr="00B403A1">
        <w:rPr>
          <w:noProof/>
        </w:rPr>
        <w:t xml:space="preserve">Vincenzo Della Mea, “What Is E-Health (2): The Death of Telemedicine?,” </w:t>
      </w:r>
      <w:r w:rsidRPr="00B403A1">
        <w:rPr>
          <w:i/>
          <w:noProof/>
        </w:rPr>
        <w:t>Journal of Medical Internet Research</w:t>
      </w:r>
      <w:r w:rsidRPr="00B403A1">
        <w:rPr>
          <w:noProof/>
        </w:rPr>
        <w:t xml:space="preserve"> 3, no. 2 (2001): 6–7.</w:t>
      </w:r>
      <w:r w:rsidRPr="00B403A1">
        <w:fldChar w:fldCharType="end"/>
      </w:r>
    </w:p>
  </w:footnote>
  <w:footnote w:id="3">
    <w:p w14:paraId="1FDD98F2" w14:textId="77777777" w:rsidR="00FB0D84" w:rsidRPr="00B403A1" w:rsidRDefault="00FB0D84" w:rsidP="00FB0D84">
      <w:pPr>
        <w:pStyle w:val="FootnoteText"/>
        <w:ind w:firstLine="426"/>
      </w:pPr>
      <w:r w:rsidRPr="009B498D">
        <w:rPr>
          <w:rStyle w:val="FootnoteReference"/>
          <w:rFonts w:eastAsiaTheme="minorEastAsia"/>
        </w:rPr>
        <w:footnoteRef/>
      </w:r>
      <w:r w:rsidRPr="00B403A1">
        <w:t xml:space="preserve"> </w:t>
      </w:r>
      <w:r w:rsidRPr="00B403A1">
        <w:fldChar w:fldCharType="begin" w:fldLock="1"/>
      </w:r>
      <w:r w:rsidRPr="00B403A1">
        <w:instrText>ADDIN CSL_CITATION {"citationItems":[{"id":"ITEM-1","itemData":{"DOI":"10.17485/IJST/v13i25.580","author":[{"dropping-particle":"","family":"Virmani","given":"Charu","non-dropping-particle":"","parse-names":false,"suffix":""},{"dropping-particle":"","family":"Kaushik","given":"Neha","non-dropping-particle":"","parse-names":false,"suffix":""},{"dropping-particle":"","family":"Mohak","given":"","non-dropping-particle":"","parse-names":false,"suffix":""},{"dropping-particle":"","family":"Mathur","given":"Vishnu","non-dropping-particle":"","parse-names":false,"suffix":""},{"dropping-particle":"","family":"Saxena","given":"Sanskar","non-dropping-particle":"","parse-names":false,"suffix":""}],"container-title":"Indian Journal of Science and Technology","id":"ITEM-1","issue":"25","issued":{"date-parts":[["2020"]]},"page":"2529–2536","title":"Analysis of cyber attacks and security intelligence: Identity theft","type":"article-journal","volume":"13"},"uris":["http://www.mendeley.com/documents/?uuid=ba199a17-2239-471f-85b8-8c586be48000","http://www.mendeley.com/documents/?uuid=a0a71098-700a-4e3c-9069-a65c717a5e5c"]}],"mendeley":{"formattedCitation":"Charu Virmani et al., “Analysis of Cyber Attacks and Security Intelligence: Identity Theft,” &lt;i&gt;Indian Journal of Science and Technology&lt;/i&gt; 13, no. 25 (2020): 2529–2536.","plainTextFormattedCitation":"Charu Virmani et al., “Analysis of Cyber Attacks and Security Intelligence: Identity Theft,” Indian Journal of Science and Technology 13, no. 25 (2020): 2529–2536.","previouslyFormattedCitation":"Charu Virmani et al., “Analysis of Cyber Attacks and Security Intelligence: Identity Theft,” &lt;i&gt;Indian Journal of Science and Technology&lt;/i&gt; 13, no. 25 (2020): 2529–2536."},"properties":{"noteIndex":3},"schema":"https://github.com/citation-style-language/schema/raw/master/csl-citation.json"}</w:instrText>
      </w:r>
      <w:r w:rsidRPr="00B403A1">
        <w:fldChar w:fldCharType="separate"/>
      </w:r>
      <w:r w:rsidRPr="00B403A1">
        <w:rPr>
          <w:noProof/>
        </w:rPr>
        <w:t xml:space="preserve">Charu Virmani et al., “Analysis of Cyber Attacks and Security Intelligence: Identity Theft,” </w:t>
      </w:r>
      <w:r w:rsidRPr="00B403A1">
        <w:rPr>
          <w:i/>
          <w:noProof/>
        </w:rPr>
        <w:t>Indian Journal of Science and Technology</w:t>
      </w:r>
      <w:r w:rsidRPr="00B403A1">
        <w:rPr>
          <w:noProof/>
        </w:rPr>
        <w:t xml:space="preserve"> 13, no. 25 (2020): 2529–2536.</w:t>
      </w:r>
      <w:r w:rsidRPr="00B403A1">
        <w:fldChar w:fldCharType="end"/>
      </w:r>
    </w:p>
  </w:footnote>
  <w:footnote w:id="4">
    <w:p w14:paraId="13414A11" w14:textId="77777777" w:rsidR="00FB0D84" w:rsidRPr="00B403A1" w:rsidRDefault="00FB0D84" w:rsidP="00FB0D84">
      <w:pPr>
        <w:pStyle w:val="FootnoteText"/>
        <w:ind w:firstLine="426"/>
      </w:pPr>
      <w:r w:rsidRPr="009B498D">
        <w:rPr>
          <w:rStyle w:val="FootnoteReference"/>
          <w:rFonts w:eastAsiaTheme="minorEastAsia"/>
        </w:rPr>
        <w:footnoteRef/>
      </w:r>
      <w:r w:rsidRPr="00B403A1">
        <w:t xml:space="preserve"> </w:t>
      </w:r>
      <w:r w:rsidRPr="00B403A1">
        <w:fldChar w:fldCharType="begin" w:fldLock="1"/>
      </w:r>
      <w:r w:rsidRPr="00B403A1">
        <w:instrText>ADDIN CSL_CITATION {"citationItems":[{"id":"ITEM-1","itemData":{"author":[{"dropping-particle":"","family":"Asosiasi Penyelenggara Jasa Internet","given":"","non-dropping-particle":"","parse-names":false,"suffix":""}],"id":"ITEM-1","issued":{"date-parts":[["2022"]]},"number-of-pages":"10","title":"Profil Internet Indonesia 2022","type":"report"},"uris":["http://www.mendeley.com/documents/?uuid=b12224bd-d951-4d95-ada4-73cd6724b4f9"]}],"mendeley":{"formattedCitation":"Asosiasi Penyelenggara Jasa Internet, &lt;i&gt;Profil Internet Indonesia 2022&lt;/i&gt;, 2022.","plainTextFormattedCitation":"Asosiasi Penyelenggara Jasa Internet, Profil Internet Indonesia 2022, 2022.","previouslyFormattedCitation":"Asosiasi Penyelenggara Jasa Internet, &lt;i&gt;Profil Internet Indonesia 2022&lt;/i&gt;, 2022."},"properties":{"noteIndex":4},"schema":"https://github.com/citation-style-language/schema/raw/master/csl-citation.json"}</w:instrText>
      </w:r>
      <w:r w:rsidRPr="00B403A1">
        <w:fldChar w:fldCharType="separate"/>
      </w:r>
      <w:r w:rsidRPr="00B403A1">
        <w:rPr>
          <w:noProof/>
        </w:rPr>
        <w:t xml:space="preserve">Asosiasi Penyelenggara Jasa Internet, </w:t>
      </w:r>
      <w:r w:rsidRPr="00B403A1">
        <w:rPr>
          <w:i/>
          <w:noProof/>
        </w:rPr>
        <w:t>Profil Internet Indonesia 2022</w:t>
      </w:r>
      <w:r w:rsidRPr="00B403A1">
        <w:rPr>
          <w:noProof/>
        </w:rPr>
        <w:t>, 2022.</w:t>
      </w:r>
      <w:r w:rsidRPr="00B403A1">
        <w:fldChar w:fldCharType="end"/>
      </w:r>
    </w:p>
  </w:footnote>
  <w:footnote w:id="5">
    <w:p w14:paraId="4AC332F6" w14:textId="77777777" w:rsidR="00FB0D84" w:rsidRPr="00B403A1" w:rsidRDefault="00FB0D84" w:rsidP="00FB0D84">
      <w:pPr>
        <w:pStyle w:val="FootnoteText"/>
        <w:ind w:firstLine="426"/>
      </w:pPr>
      <w:r w:rsidRPr="009B498D">
        <w:rPr>
          <w:rStyle w:val="FootnoteReference"/>
          <w:rFonts w:eastAsiaTheme="minorEastAsia"/>
        </w:rPr>
        <w:footnoteRef/>
      </w:r>
      <w:r w:rsidRPr="00B403A1">
        <w:t xml:space="preserve"> </w:t>
      </w:r>
      <w:r w:rsidRPr="00B403A1">
        <w:fldChar w:fldCharType="begin" w:fldLock="1"/>
      </w:r>
      <w:r>
        <w:instrText>ADDIN CSL_CITATION {"citationItems":[{"id":"ITEM-1","itemData":{"URL":"https://media-infokes.com/2019/08/22/penggunaan-aplikasi-kesehatan-digital-di-indonesia-hanya-10-dari-total-penduduk/","accessed":{"date-parts":[["2022","10","4"]]},"author":[{"dropping-particle":"","family":"Media Infokes","given":"","non-dropping-particle":"","parse-names":false,"suffix":""}],"id":"ITEM-1","issued":{"date-parts":[["2019"]]},"title":"Penggunaan Aplikasi Kesehatan Digital di Indonesia, Hanya 10% dari Total Penduduk","type":"webpage"},"uris":["http://www.mendeley.com/documents/?uuid=9da95663-a671-4409-b6b0-d96d236347ba","http://www.mendeley.com/documents/?uuid=87c5a969-e788-4298-b85f-37a1c510cd04"]}],"mendeley":{"formattedCitation":"Media Infokes, “Penggunaan Aplikasi Kesehatan Digital Di Indonesia, Hanya 10% Dari Total Penduduk,” last modified 2019, accessed October 4, 2022, https://media-infokes.com/2019/08/22/penggunaan-aplikasi-kesehatan-digital-di-indonesia-hanya-10-dari-total-penduduk/.","plainTextFormattedCitation":"Media Infokes, “Penggunaan Aplikasi Kesehatan Digital Di Indonesia, Hanya 10% Dari Total Penduduk,” last modified 2019, accessed October 4, 2022, https://media-infokes.com/2019/08/22/penggunaan-aplikasi-kesehatan-digital-di-indonesia-hanya-10-dari-total-penduduk/.","previouslyFormattedCitation":"Media Infokes, “Penggunaan Aplikasi Kesehatan Digital Di Indonesia, Hanya 10% Dari Total Penduduk,” last modified 2019, accessed October 4, 2022, https://media-infokes.com/2019/08/22/penggunaan-aplikasi-kesehatan-digital-di-indonesia-hanya-10-dari-total-penduduk/."},"properties":{"noteIndex":5},"schema":"https://github.com/citation-style-language/schema/raw/master/csl-citation.json"}</w:instrText>
      </w:r>
      <w:r w:rsidRPr="00B403A1">
        <w:fldChar w:fldCharType="separate"/>
      </w:r>
      <w:r w:rsidRPr="009C5098">
        <w:rPr>
          <w:noProof/>
        </w:rPr>
        <w:t>Media Infokes, “Penggunaan Aplikasi Kesehatan Digital Di Indonesia, Hanya 10% Dari Total Penduduk,” last modified 2019, accessed October 4, 2022, https://media-infokes.com/2019/08/22/penggunaan-aplikasi-kesehatan-digital-di-indonesia-hanya-10-dari-total-penduduk/.</w:t>
      </w:r>
      <w:r w:rsidRPr="00B403A1">
        <w:fldChar w:fldCharType="end"/>
      </w:r>
    </w:p>
  </w:footnote>
  <w:footnote w:id="6">
    <w:p w14:paraId="3D86D777" w14:textId="77777777" w:rsidR="00FB0D84" w:rsidRPr="00B403A1" w:rsidRDefault="00FB0D84" w:rsidP="00FB0D84">
      <w:pPr>
        <w:pStyle w:val="FootnoteText"/>
        <w:ind w:firstLine="426"/>
      </w:pPr>
      <w:r w:rsidRPr="009B498D">
        <w:rPr>
          <w:rStyle w:val="FootnoteReference"/>
          <w:rFonts w:eastAsiaTheme="minorEastAsia"/>
        </w:rPr>
        <w:footnoteRef/>
      </w:r>
      <w:r w:rsidRPr="00B403A1">
        <w:t xml:space="preserve"> </w:t>
      </w:r>
      <w:r w:rsidRPr="00B403A1">
        <w:fldChar w:fldCharType="begin" w:fldLock="1"/>
      </w:r>
      <w:r w:rsidRPr="00B403A1">
        <w:instrText>ADDIN CSL_CITATION {"citationItems":[{"id":"ITEM-1","itemData":{"DOI":"10.2196/jmir.3.2.e20","ISSN":"14388871","PMID":"11720962","author":[{"dropping-particle":"","family":"Eysenbach","given":"Gunther","non-dropping-particle":"","parse-names":false,"suffix":""}],"container-title":"Journal of Medical Internet Research","id":"ITEM-1","issue":"2","issued":{"date-parts":[["2001"]]},"page":"1-5","title":"What is e-health?","type":"article-journal","volume":"3"},"uris":["http://www.mendeley.com/documents/?uuid=37c595e6-2efd-4b56-a044-141650ced4af"]}],"mendeley":{"formattedCitation":"Gunther Eysenbach, “What Is E-Health?,” &lt;i&gt;Journal of Medical Internet Research&lt;/i&gt; 3, no. 2 (2001): 1–5.","plainTextFormattedCitation":"Gunther Eysenbach, “What Is E-Health?,” Journal of Medical Internet Research 3, no. 2 (2001): 1–5.","previouslyFormattedCitation":"Gunther Eysenbach, “What Is E-Health?,” &lt;i&gt;Journal of Medical Internet Research&lt;/i&gt; 3, no. 2 (2001): 1–5."},"properties":{"noteIndex":6},"schema":"https://github.com/citation-style-language/schema/raw/master/csl-citation.json"}</w:instrText>
      </w:r>
      <w:r w:rsidRPr="00B403A1">
        <w:fldChar w:fldCharType="separate"/>
      </w:r>
      <w:r w:rsidRPr="00B403A1">
        <w:rPr>
          <w:noProof/>
        </w:rPr>
        <w:t xml:space="preserve">Gunther Eysenbach, “What Is E-Health?,” </w:t>
      </w:r>
      <w:r w:rsidRPr="00B403A1">
        <w:rPr>
          <w:i/>
          <w:noProof/>
        </w:rPr>
        <w:t>Journal of Medical Internet Research</w:t>
      </w:r>
      <w:r w:rsidRPr="00B403A1">
        <w:rPr>
          <w:noProof/>
        </w:rPr>
        <w:t xml:space="preserve"> 3, no. 2 (2001): 1–5.</w:t>
      </w:r>
      <w:r w:rsidRPr="00B403A1">
        <w:fldChar w:fldCharType="end"/>
      </w:r>
    </w:p>
  </w:footnote>
  <w:footnote w:id="7">
    <w:p w14:paraId="7904D0BC" w14:textId="77777777" w:rsidR="00FB0D84" w:rsidRPr="00B403A1" w:rsidRDefault="00FB0D84" w:rsidP="00FB0D84">
      <w:pPr>
        <w:pStyle w:val="FootnoteText"/>
        <w:ind w:firstLine="426"/>
      </w:pPr>
      <w:r w:rsidRPr="009B498D">
        <w:rPr>
          <w:rStyle w:val="FootnoteReference"/>
          <w:rFonts w:eastAsiaTheme="minorEastAsia"/>
        </w:rPr>
        <w:footnoteRef/>
      </w:r>
      <w:r w:rsidRPr="00B403A1">
        <w:t xml:space="preserve"> </w:t>
      </w:r>
      <w:r w:rsidRPr="00B403A1">
        <w:fldChar w:fldCharType="begin" w:fldLock="1"/>
      </w:r>
      <w:r w:rsidRPr="00B403A1">
        <w:instrText>ADDIN CSL_CITATION {"citationItems":[{"id":"ITEM-1","itemData":{"DOI":"10.2196/jmir.3.2.e20","ISSN":"14388871","PMID":"11720962","author":[{"dropping-particle":"","family":"Eysenbach","given":"Gunther","non-dropping-particle":"","parse-names":false,"suffix":""}],"container-title":"Journal of Medical Internet Research","id":"ITEM-1","issue":"2","issued":{"date-parts":[["2001"]]},"page":"1-5","title":"What is e-health?","type":"article-journal","volume":"3"},"uris":["http://www.mendeley.com/documents/?uuid=37c595e6-2efd-4b56-a044-141650ced4af"]}],"mendeley":{"formattedCitation":"Ibid.","plainTextFormattedCitation":"Ibid.","previouslyFormattedCitation":"Ibid."},"properties":{"noteIndex":7},"schema":"https://github.com/citation-style-language/schema/raw/master/csl-citation.json"}</w:instrText>
      </w:r>
      <w:r w:rsidRPr="00B403A1">
        <w:fldChar w:fldCharType="separate"/>
      </w:r>
      <w:r w:rsidRPr="00B403A1">
        <w:rPr>
          <w:noProof/>
        </w:rPr>
        <w:t>Ibid.</w:t>
      </w:r>
      <w:r w:rsidRPr="00B403A1">
        <w:fldChar w:fldCharType="end"/>
      </w:r>
    </w:p>
  </w:footnote>
  <w:footnote w:id="8">
    <w:p w14:paraId="48C8BAB3" w14:textId="77777777" w:rsidR="00FB0D84" w:rsidRPr="00B403A1" w:rsidRDefault="00FB0D84" w:rsidP="00FB0D84">
      <w:pPr>
        <w:pStyle w:val="FootnoteText"/>
        <w:ind w:firstLine="426"/>
      </w:pPr>
      <w:r w:rsidRPr="009B498D">
        <w:rPr>
          <w:rStyle w:val="FootnoteReference"/>
          <w:rFonts w:eastAsiaTheme="minorEastAsia"/>
        </w:rPr>
        <w:footnoteRef/>
      </w:r>
      <w:r w:rsidRPr="00B403A1">
        <w:t xml:space="preserve"> </w:t>
      </w:r>
      <w:r w:rsidRPr="00B403A1">
        <w:fldChar w:fldCharType="begin" w:fldLock="1"/>
      </w:r>
      <w:r w:rsidRPr="00B403A1">
        <w:instrText>ADDIN CSL_CITATION {"citationItems":[{"id":"ITEM-1","itemData":{"URL":"http://www.emro.who.int/health-topics/ehealth/","author":[{"dropping-particle":"","family":"WHO","given":"","non-dropping-particle":"","parse-names":false,"suffix":""}],"id":"ITEM-1","issued":{"date-parts":[["2022"]]},"title":"eHealth","type":"webpage"},"uris":["http://www.mendeley.com/documents/?uuid=d64e0cf6-dd4e-4e18-b40c-787e1443094d"]}],"mendeley":{"formattedCitation":"WHO, “EHealth,” last modified 2022, http://www.emro.who.int/health-topics/ehealth/.","plainTextFormattedCitation":"WHO, “EHealth,” last modified 2022, http://www.emro.who.int/health-topics/ehealth/.","previouslyFormattedCitation":"WHO, “EHealth,” last modified 2022, http://www.emro.who.int/health-topics/ehealth/."},"properties":{"noteIndex":8},"schema":"https://github.com/citation-style-language/schema/raw/master/csl-citation.json"}</w:instrText>
      </w:r>
      <w:r w:rsidRPr="00B403A1">
        <w:fldChar w:fldCharType="separate"/>
      </w:r>
      <w:r w:rsidRPr="00B403A1">
        <w:rPr>
          <w:noProof/>
        </w:rPr>
        <w:t>WHO, “EHealth,” last modified 2022, http://www.emro.who.int/health-topics/ehealth/.</w:t>
      </w:r>
      <w:r w:rsidRPr="00B403A1">
        <w:fldChar w:fldCharType="end"/>
      </w:r>
    </w:p>
  </w:footnote>
  <w:footnote w:id="9">
    <w:p w14:paraId="57AF4F59"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{"citationItems":[{"id":"ITEM-1","itemData":{"DOI":"10.5171/2020.341252","ISSN":"19473788","abstract":"The aim of the article is to present the essence of patient safety and the role, goals, benefits and areas of application of eHealth in the process of patient safety management. The development of information and communication technologies creates opportunities to support innovation in the health services sector in the field of e-health services and tools. However, the implementation of digital technologies in the field of health has a significant impact on patient safety. Therefore, the question of the possibility of using e-health services and tools in supporting patient safety management becomes a key issue. The article is conceptual in nature and was developed using research methods such as: review and indepth analysis of literature and documents on health policy, reports and legal acts. eHealth services and tools can be used in a variety of activities in the patient safety management process, but require consistent, complex interaction at all levels of the healthcare system, as well as cross-sectoral and international cooperation. This applies to both cooperation in the field of technology and the legal framework for using the potential of e-health. Particularly important in the implementation of digital technologies is ensuring data security and active participation of patients and medical staff in developing health awareness, their involvement in communication and educational processes.","author":[{"dropping-particle":"","family":"Dymyt","given":"Malgorzata","non-dropping-particle":"","parse-names":false,"suffix":""}],"container-title":"Journal of e-health Management","id":"ITEM-1","issued":{"date-parts":[["2020"]]},"page":"1-13","title":"The Role of eHealth in the Management of Patient Safety","type":"article-journal","volume":"2020"},"uris":["http://www.mendeley.com/documents/?uuid=ebf0fe89-a8cb-4d8c-9358-02e49b7cc7f8"]}],"mendeley":{"formattedCitation":"Malgorzata Dymyt, “The Role of EHealth in the Management of Patient Safety,” &lt;i&gt;Journal of e-health Management&lt;/i&gt; 2020 (2020): 1–13, https://ibimapublishing.com/articles/JEHM/2020/341252/.","plainTextFormattedCitation":"Malgorzata Dymyt, “The Role of EHealth in the Management of Patient Safety,” Journal of e-health Management 2020 (2020): 1–13, https://ibimapublishing.com/articles/JEHM/2020/341252/.","previouslyFormattedCitation":"Malgorzata Dymyt, “The Role of EHealth in the Management of Patient Safety,” &lt;i&gt;Journal of e-health Management&lt;/i&gt; 2020 (2020): 1–13, https://ibimapublishing.com/articles/JEHM/2020/341252/."},"properties":{"noteIndex":9},"schema":"https://github.com/citation-style-language/schema/raw/master/csl-citation.json"}</w:instrText>
      </w:r>
      <w:r w:rsidRPr="001E3D98">
        <w:fldChar w:fldCharType="separate"/>
      </w:r>
      <w:r w:rsidRPr="001E3D98">
        <w:rPr>
          <w:noProof/>
        </w:rPr>
        <w:t xml:space="preserve">Malgorzata Dymyt, “The Role of EHealth in the Management of Patient Safety,” </w:t>
      </w:r>
      <w:r w:rsidRPr="001E3D98">
        <w:rPr>
          <w:i/>
          <w:noProof/>
        </w:rPr>
        <w:t>Journal of e-health Management</w:t>
      </w:r>
      <w:r w:rsidRPr="001E3D98">
        <w:rPr>
          <w:noProof/>
        </w:rPr>
        <w:t xml:space="preserve"> 2020 (2020): 1–13, https://ibimapublishing.com/articles/JEHM/2020/341252/.</w:t>
      </w:r>
      <w:r w:rsidRPr="001E3D98">
        <w:fldChar w:fldCharType="end"/>
      </w:r>
    </w:p>
  </w:footnote>
  <w:footnote w:id="10">
    <w:p w14:paraId="7B83FFDE"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{"citationItems":[{"id":"ITEM-1","itemData":{"DOI":"10.5171/2020.341252","ISSN":"19473788","abstract":"The aim of the article is to present the essence of patient safety and the role, goals, benefits and areas of application of eHealth in the process of patient safety management. The development of information and communication technologies creates opportunities to support innovation in the health services sector in the field of e-health services and tools. However, the implementation of digital technologies in the field of health has a significant impact on patient safety. Therefore, the question of the possibility of using e-health services and tools in supporting patient safety management becomes a key issue. The article is conceptual in nature and was developed using research methods such as: review and indepth analysis of literature and documents on health policy, reports and legal acts. eHealth services and tools can be used in a variety of activities in the patient safety management process, but require consistent, complex interaction at all levels of the healthcare system, as well as cross-sectoral and international cooperation. This applies to both cooperation in the field of technology and the legal framework for using the potential of e-health. Particularly important in the implementation of digital technologies is ensuring data security and active participation of patients and medical staff in developing health awareness, their involvement in communication and educational processes.","author":[{"dropping-particle":"","family":"Dymyt","given":"Malgorzata","non-dropping-particle":"","parse-names":false,"suffix":""}],"container-title":"Journal of e-health Management","id":"ITEM-1","issued":{"date-parts":[["2020"]]},"page":"1-13","title":"The Role of eHealth in the Management of Patient Safety","type":"article-journal","volume":"2020"},"uris":["http://www.mendeley.com/documents/?uuid=ebf0fe89-a8cb-4d8c-9358-02e49b7cc7f8"]}],"mendeley":{"formattedCitation":"Ibid.","plainTextFormattedCitation":"Ibid.","previouslyFormattedCitation":"Ibid."},"properties":{"noteIndex":10},"schema":"https://github.com/citation-style-language/schema/raw/master/csl-citation.json"}</w:instrText>
      </w:r>
      <w:r w:rsidRPr="001E3D98">
        <w:fldChar w:fldCharType="separate"/>
      </w:r>
      <w:r w:rsidRPr="001E3D98">
        <w:rPr>
          <w:noProof/>
        </w:rPr>
        <w:t>Ibid.</w:t>
      </w:r>
      <w:r w:rsidRPr="001E3D98">
        <w:fldChar w:fldCharType="end"/>
      </w:r>
    </w:p>
  </w:footnote>
  <w:footnote w:id="11">
    <w:p w14:paraId="11FBCF21"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{"citationItems":[{"id":"ITEM-1","itemData":{"DOI":"10.14201/adcaij2018727180","abstract":"The fourth industrial revolution, in which we transit, is preceded by a digital economy based fundamentally on information. And although estimates have been made on whether the data moving in the digital economy flow are from sensors or machines or come from each of us, one thing is certain, all information has a monetary value. Within this flow of information are our personal data. Every moment that we use an electronic device we leave behind vestiges of our life, which are collected by the machines to generate value to the companies. In this way our information is subject to market rules, supply and demand. We have become intangible beings, mercantilized, giving our bodies of data to the science, innovation and technological development. With the use of technologies such as Big Data and IoT, more information less is better. The speed with which our information is collected and treated as well as commercialized is undermining confidence in the digital market. Concern about the misuse of our personal data, or about the information we know about us, raises fundamental questions about privacy, ownership of information and human rights. The question of who should benefit from products and services based on digital data (generated by users) are the main uncertainties that shape the digital market opportunities. But, how can we measure trust in companies if we are not aware of the value our personal information has in the digital economy? What is the value that, as headlines, we give to our personal data? Perhaps therein lies the problem of allowing others to have power over our information. To promote the digital market and trust in it, we need to know the value of our information. Becoming aware of the fact and consequences of collecting our data, as well as its monetary value and importance in the digital economy, is the first beneficial step towards the empowerment of our information","author":[{"dropping-particle":"","family":"Becerril","given":"Anahiby Anyel","non-dropping-particle":"","parse-names":false,"suffix":""}],"container-title":"ADCAIJ: Advances in Distributed Computing and Artificial Intelligence Journal","id":"ITEM-1","issue":"2","issued":{"date-parts":[["2018"]]},"page":"71-80","title":"The value of our personal data in the Big Data and the Internet of all Things Era","type":"article-journal","volume":"7"},"uris":["http://www.mendeley.com/documents/?uuid=9cc57fce-650e-4d23-aedf-d718febb9379"]}],"mendeley":{"formattedCitation":"Anahiby Anyel Becerril, “The Value of Our Personal Data in the Big Data and the Internet of All Things Era,” &lt;i&gt;ADCAIJ: Advances in Distributed Computing and Artificial Intelligence Journal&lt;/i&gt; 7, no. 2 (2018): 71–80.","plainTextFormattedCitation":"Anahiby Anyel Becerril, “The Value of Our Personal Data in the Big Data and the Internet of All Things Era,” ADCAIJ: Advances in Distributed Computing and Artificial Intelligence Journal 7, no. 2 (2018): 71–80.","previouslyFormattedCitation":"Anahiby Anyel Becerril, “The Value of Our Personal Data in the Big Data and the Internet of All Things Era,” &lt;i&gt;ADCAIJ: Advances in Distributed Computing and Artificial Intelligence Journal&lt;/i&gt; 7, no. 2 (2018): 71–80."},"properties":{"noteIndex":11},"schema":"https://github.com/citation-style-language/schema/raw/master/csl-citation.json"}</w:instrText>
      </w:r>
      <w:r w:rsidRPr="001E3D98">
        <w:fldChar w:fldCharType="separate"/>
      </w:r>
      <w:r w:rsidRPr="001E3D98">
        <w:rPr>
          <w:noProof/>
        </w:rPr>
        <w:t xml:space="preserve">Anahiby Anyel Becerril, “The Value of Our Personal Data in the Big Data and the Internet of All Things Era,” </w:t>
      </w:r>
      <w:r w:rsidRPr="001E3D98">
        <w:rPr>
          <w:i/>
          <w:noProof/>
        </w:rPr>
        <w:t>ADCAIJ: Advances in Distributed Computing and Artificial Intelligence Journal</w:t>
      </w:r>
      <w:r w:rsidRPr="001E3D98">
        <w:rPr>
          <w:noProof/>
        </w:rPr>
        <w:t xml:space="preserve"> 7, no. 2 (2018): 71–80.</w:t>
      </w:r>
      <w:r w:rsidRPr="001E3D98">
        <w:fldChar w:fldCharType="end"/>
      </w:r>
    </w:p>
  </w:footnote>
  <w:footnote w:id="12">
    <w:p w14:paraId="0445D2A0"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Castells","given":"M.","non-dropping-particle":"","parse-names":false,"suffix":""}],"edition":"III","id":"ITEM-1","issued":{"date-parts":[["1998"]]},"number-of-pages":"336","publisher":"Blackwell","publisher-place":"Oxford","title":"The Information Age","type":"book"},"uris":["http://www.mendeley.com/documents/?uuid=a1829ecf-61a5-44bf-88e6-9da769f90186"]}],"mendeley":{"formattedCitation":"M. Castells, &lt;i&gt;The Information Age&lt;/i&gt;, III. (Oxford: Blackwell, 1998).","plainTextFormattedCitation":"M. Castells, The Information Age, III. (Oxford: Blackwell, 1998).","previouslyFormattedCitation":"M. Castells, &lt;i&gt;The Information Age&lt;/i&gt;, III. (Oxford: Blackwell, 1998)."},"properties":{"noteIndex":12},"schema":"https://github.com/citation-style-language/schema/raw/master/csl-citation.json"}</w:instrText>
      </w:r>
      <w:r w:rsidRPr="001E3D98">
        <w:fldChar w:fldCharType="separate"/>
      </w:r>
      <w:r w:rsidRPr="001E3D98">
        <w:rPr>
          <w:noProof/>
        </w:rPr>
        <w:t xml:space="preserve">M. Castells, </w:t>
      </w:r>
      <w:r w:rsidRPr="001E3D98">
        <w:rPr>
          <w:i/>
          <w:noProof/>
        </w:rPr>
        <w:t>The Information Age</w:t>
      </w:r>
      <w:r w:rsidRPr="001E3D98">
        <w:rPr>
          <w:noProof/>
        </w:rPr>
        <w:t>, III. (Oxford: Blackwell, 1998).</w:t>
      </w:r>
      <w:r w:rsidRPr="001E3D98">
        <w:fldChar w:fldCharType="end"/>
      </w:r>
    </w:p>
  </w:footnote>
  <w:footnote w:id="13">
    <w:p w14:paraId="05ADE8FE"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{"citationItems":[{"id":"ITEM-1","itemData":{"author":[{"dropping-particle":"","family":"Sudibyo","given":"Agus","non-dropping-particle":"","parse-names":false,"suffix":""}],"id":"ITEM-1","issued":{"date-parts":[["2019"]]},"number-of-pages":"174","publisher":"Kepustakaan Populer Gramedia","publisher-place":"Jakarta","title":"Jagad Digital","type":"book"},"uris":["http://www.mendeley.com/documents/?uuid=c435e3b7-d02e-4970-bb8c-a6fc4220d5bc"]}],"mendeley":{"formattedCitation":"Agus Sudibyo, &lt;i&gt;Jagad Digital&lt;/i&gt; (Jakarta: Kepustakaan Populer Gramedia, 2019).","plainTextFormattedCitation":"Agus Sudibyo, Jagad Digital (Jakarta: Kepustakaan Populer Gramedia, 2019).","previouslyFormattedCitation":"Agus Sudibyo, &lt;i&gt;Jagad Digital&lt;/i&gt; (Jakarta: Kepustakaan Populer Gramedia, 2019)."},"properties":{"noteIndex":13},"schema":"https://github.com/citation-style-language/schema/raw/master/csl-citation.json"}</w:instrText>
      </w:r>
      <w:r w:rsidRPr="001E3D98">
        <w:fldChar w:fldCharType="separate"/>
      </w:r>
      <w:r w:rsidRPr="001E3D98">
        <w:rPr>
          <w:noProof/>
        </w:rPr>
        <w:t xml:space="preserve">Agus Sudibyo, </w:t>
      </w:r>
      <w:r w:rsidRPr="001E3D98">
        <w:rPr>
          <w:i/>
          <w:noProof/>
        </w:rPr>
        <w:t>Jagad Digital</w:t>
      </w:r>
      <w:r w:rsidRPr="001E3D98">
        <w:rPr>
          <w:noProof/>
        </w:rPr>
        <w:t xml:space="preserve"> (Jakarta: Kepustakaan Populer Gramedia, 2019).</w:t>
      </w:r>
      <w:r w:rsidRPr="001E3D98">
        <w:fldChar w:fldCharType="end"/>
      </w:r>
    </w:p>
  </w:footnote>
  <w:footnote w:id="14">
    <w:p w14:paraId="7BD019D5" w14:textId="77777777" w:rsidR="00FB0D84" w:rsidRPr="00C16369" w:rsidRDefault="00FB0D84" w:rsidP="00FB0D84">
      <w:pPr>
        <w:pStyle w:val="FootnoteText"/>
        <w:ind w:firstLine="567"/>
      </w:pPr>
      <w:r w:rsidRPr="009B498D">
        <w:rPr>
          <w:rStyle w:val="FootnoteReference"/>
          <w:rFonts w:eastAsiaTheme="minorEastAsia"/>
        </w:rPr>
        <w:footnoteRef/>
      </w:r>
      <w:r>
        <w:t xml:space="preserve"> </w:t>
      </w:r>
      <w:r>
        <w:fldChar w:fldCharType="begin" w:fldLock="1"/>
      </w:r>
      <w:r>
        <w:instrText>ADDIN CSL_CITATION {"citationItems":[{"id":"ITEM-1","itemData":{"URL":"https://aptika.kominfo.go.id/2022/09/rapat-paripurna-dpr-sahkan-ruu-pdp/","accessed":{"date-parts":[["2022","10","16"]]},"author":[{"dropping-particle":"","family":"Kominfo","given":"","non-dropping-particle":"","parse-names":false,"suffix":""}],"id":"ITEM-1","issued":{"date-parts":[["2022"]]},"title":"Rapat Paripurna DPR Sahkan RUU PDP","type":"webpage"},"uris":["http://www.mendeley.com/documents/?uuid=ef3c5d0c-cc99-43d5-9960-ba369a459d8e"]}],"mendeley":{"formattedCitation":"Kominfo, “Rapat Paripurna DPR Sahkan RUU PDP,” last modified 2022, accessed October 16, 2022, https://aptika.kominfo.go.id/2022/09/rapat-paripurna-dpr-sahkan-ruu-pdp/.","plainTextFormattedCitation":"Kominfo, “Rapat Paripurna DPR Sahkan RUU PDP,” last modified 2022, accessed October 16, 2022, https://aptika.kominfo.go.id/2022/09/rapat-paripurna-dpr-sahkan-ruu-pdp/.","previouslyFormattedCitation":"Kominfo, “Rapat Paripurna DPR Sahkan RUU PDP,” last modified 2022, accessed October 16, 2022, https://aptika.kominfo.go.id/2022/09/rapat-paripurna-dpr-sahkan-ruu-pdp/."},"properties":{"noteIndex":14},"schema":"https://github.com/citation-style-language/schema/raw/master/csl-citation.json"}</w:instrText>
      </w:r>
      <w:r>
        <w:fldChar w:fldCharType="separate"/>
      </w:r>
      <w:r w:rsidRPr="00C16369">
        <w:rPr>
          <w:noProof/>
        </w:rPr>
        <w:t>Kominfo, “Rapat Paripurna DPR Sahkan RUU PDP,” last modified 2022, accessed October 16, 2022, https://aptika.kominfo.go.id/2022/09/rapat-paripurna-dpr-sahkan-ruu-pdp/.</w:t>
      </w:r>
      <w:r>
        <w:fldChar w:fldCharType="end"/>
      </w:r>
    </w:p>
  </w:footnote>
  <w:footnote w:id="15">
    <w:p w14:paraId="797BFE1B"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{"citationItems":[{"id":"ITEM-1","itemData":{"author":[{"dropping-particle":"","family":"Journal","given":"HIPAA","non-dropping-particle":"","parse-names":false,"suffix":""}],"id":"ITEM-1","issued":{"date-parts":[["2022"]]},"title":"Healthcare Data Breach Statistics","type":"report"},"uris":["http://www.mendeley.com/documents/?uuid=0f050b10-a1d7-44c3-9c09-ab500a607bfe"]}],"mendeley":{"formattedCitation":"HIPAA Journal, &lt;i&gt;Healthcare Data Breach Statistics&lt;/i&gt;, 2022, https://www.hipaajournal.com/healthcare-data-breach-statistics/.","plainTextFormattedCitation":"HIPAA Journal, Healthcare Data Breach Statistics, 2022, https://www.hipaajournal.com/healthcare-data-breach-statistics/.","previouslyFormattedCitation":"HIPAA Journal, &lt;i&gt;Healthcare Data Breach Statistics&lt;/i&gt;, 2022, https://www.hipaajournal.com/healthcare-data-breach-statistics/."},"properties":{"noteIndex":15},"schema":"https://github.com/citation-style-language/schema/raw/master/csl-citation.json"}</w:instrText>
      </w:r>
      <w:r w:rsidRPr="001E3D98">
        <w:fldChar w:fldCharType="separate"/>
      </w:r>
      <w:r w:rsidRPr="001E3D98">
        <w:rPr>
          <w:noProof/>
        </w:rPr>
        <w:t xml:space="preserve">HIPAA Journal, </w:t>
      </w:r>
      <w:r w:rsidRPr="001E3D98">
        <w:rPr>
          <w:i/>
          <w:noProof/>
        </w:rPr>
        <w:t>Healthcare Data Breach Statistics</w:t>
      </w:r>
      <w:r w:rsidRPr="001E3D98">
        <w:rPr>
          <w:noProof/>
        </w:rPr>
        <w:t>, 2022, https://www.hipaajournal.com/healthcare-data-breach-statistics/.</w:t>
      </w:r>
      <w:r w:rsidRPr="001E3D98">
        <w:fldChar w:fldCharType="end"/>
      </w:r>
    </w:p>
  </w:footnote>
  <w:footnote w:id="16">
    <w:p w14:paraId="24D04A38"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Walker","given":"Clive","non-dropping-particle":"","parse-names":false,"suffix":""},{"dropping-particle":"","family":"Wall","given":"David","non-dropping-particle":"","parse-names":false,"suffix":""}],"id":"ITEM-1","issued":{"date-parts":[["2000"]]},"number-of-pages":"14","publisher":"Person Education Limited","publisher-place":"UK","title":"The Internet, Law and Society","type":"book"},"uris":["http://www.mendeley.com/documents/?uuid=a19df451-1b7e-4763-ae30-9451bdb4e4ac"]}],"mendeley":{"formattedCitation":"Clive Walker and David Wall, &lt;i&gt;The Internet, Law and Society&lt;/i&gt; (UK: Person Education Limited, 2000).","plainTextFormattedCitation":"Clive Walker and David Wall, The Internet, Law and Society (UK: Person Education Limited, 2000).","previouslyFormattedCitation":"Clive Walker and David Wall, &lt;i&gt;The Internet, Law and Society&lt;/i&gt; (UK: Person Education Limited, 2000)."},"properties":{"noteIndex":16},"schema":"https://github.com/citation-style-language/schema/raw/master/csl-citation.json"}</w:instrText>
      </w:r>
      <w:r w:rsidRPr="001E3D98">
        <w:fldChar w:fldCharType="separate"/>
      </w:r>
      <w:r w:rsidRPr="001E3D98">
        <w:rPr>
          <w:noProof/>
        </w:rPr>
        <w:t xml:space="preserve">Clive Walker and David Wall, </w:t>
      </w:r>
      <w:r w:rsidRPr="001E3D98">
        <w:rPr>
          <w:i/>
          <w:noProof/>
        </w:rPr>
        <w:t>The Internet, Law and Society</w:t>
      </w:r>
      <w:r w:rsidRPr="001E3D98">
        <w:rPr>
          <w:noProof/>
        </w:rPr>
        <w:t xml:space="preserve"> (UK: Person Education Limited, 2000).</w:t>
      </w:r>
      <w:r w:rsidRPr="001E3D98">
        <w:fldChar w:fldCharType="end"/>
      </w:r>
    </w:p>
  </w:footnote>
  <w:footnote w:id="17">
    <w:p w14:paraId="65BC1C49"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Walker","given":"Clive","non-dropping-particle":"","parse-names":false,"suffix":""},{"dropping-particle":"","family":"Wall","given":"David","non-dropping-particle":"","parse-names":false,"suffix":""}],"id":"ITEM-1","issued":{"date-parts":[["2000"]]},"number-of-pages":"14","publisher":"Person Education Limited","publisher-place":"UK","title":"The Internet, Law and Society","type":"book"},"uris":["http://www.mendeley.com/documents/?uuid=a19df451-1b7e-4763-ae30-9451bdb4e4ac"]}],"mendeley":{"formattedCitation":"Ibid.","plainTextFormattedCitation":"Ibid.","previouslyFormattedCitation":"Ibid."},"properties":{"noteIndex":17},"schema":"https://github.com/citation-style-language/schema/raw/master/csl-citation.json"}</w:instrText>
      </w:r>
      <w:r w:rsidRPr="001E3D98">
        <w:fldChar w:fldCharType="separate"/>
      </w:r>
      <w:r w:rsidRPr="001E3D98">
        <w:rPr>
          <w:noProof/>
        </w:rPr>
        <w:t>Ibid.</w:t>
      </w:r>
      <w:r w:rsidRPr="001E3D98">
        <w:fldChar w:fldCharType="end"/>
      </w:r>
    </w:p>
  </w:footnote>
  <w:footnote w:id="18">
    <w:p w14:paraId="7C960378" w14:textId="77777777" w:rsidR="00FB0D84" w:rsidRPr="00234CED" w:rsidRDefault="00FB0D84" w:rsidP="00FB0D84">
      <w:pPr>
        <w:pStyle w:val="FootnoteText"/>
        <w:ind w:firstLine="567"/>
      </w:pPr>
      <w:r w:rsidRPr="009B498D">
        <w:rPr>
          <w:rStyle w:val="FootnoteReference"/>
          <w:rFonts w:eastAsiaTheme="minorEastAsia"/>
        </w:rPr>
        <w:footnoteRef/>
      </w:r>
      <w:r>
        <w:t xml:space="preserve"> </w:t>
      </w:r>
      <w:r w:rsidRPr="00234CED">
        <w:fldChar w:fldCharType="begin" w:fldLock="1"/>
      </w:r>
      <w:r>
        <w:instrText>ADDIN CSL_CITATION {"citationItems":[{"id":"ITEM-1","itemData":{"URL":"https://www.beritasatu.com/lifestyle/876043/6-juta-data-pasien-rs-bocor-ini-risiko-yang-mengintai","accessed":{"date-parts":[["2022","9","28"]]},"author":[{"dropping-particle":"","family":"Herman","given":"Herman","non-dropping-particle":"","parse-names":false,"suffix":""}],"container-title":"7 January 2022","id":"ITEM-1","issued":{"date-parts":[["2022"]]},"title":"6 Juta Data Pasien RS Bocor, Ini Risiko yang Mengintai","type":"webpage"},"uris":["http://www.mendeley.com/documents/?uuid=e8ddc8fb-35a2-41fc-9725-50ccaff952c2"]}],"mendeley":{"formattedCitation":"Herman Herman, “6 Juta Data Pasien RS Bocor, Ini Risiko Yang Mengintai,” &lt;i&gt;7 January 2022&lt;/i&gt;, last modified 2022, accessed September 28, 2022, https://www.beritasatu.com/lifestyle/876043/6-juta-data-pasien-rs-bocor-ini-risiko-yang-mengintai.","plainTextFormattedCitation":"Herman Herman, “6 Juta Data Pasien RS Bocor, Ini Risiko Yang Mengintai,” 7 January 2022, last modified 2022, accessed September 28, 2022, https://www.beritasatu.com/lifestyle/876043/6-juta-data-pasien-rs-bocor-ini-risiko-yang-mengintai.","previouslyFormattedCitation":"Herman Herman, “6 Juta Data Pasien RS Bocor, Ini Risiko Yang Mengintai,” &lt;i&gt;7 January 2022&lt;/i&gt;, last modified 2022, accessed September 28, 2022, https://www.beritasatu.com/lifestyle/876043/6-juta-data-pasien-rs-bocor-ini-risiko-yang-mengintai."},"properties":{"noteIndex":18},"schema":"https://github.com/citation-style-language/schema/raw/master/csl-citation.json"}</w:instrText>
      </w:r>
      <w:r w:rsidRPr="00234CED">
        <w:fldChar w:fldCharType="separate"/>
      </w:r>
      <w:r w:rsidRPr="00234CED">
        <w:rPr>
          <w:noProof/>
        </w:rPr>
        <w:t xml:space="preserve">Herman Herman, “6 Juta Data Pasien RS Bocor, Ini Risiko Yang Mengintai,” </w:t>
      </w:r>
      <w:r w:rsidRPr="00234CED">
        <w:rPr>
          <w:i/>
          <w:noProof/>
        </w:rPr>
        <w:t>7 January 2022</w:t>
      </w:r>
      <w:r w:rsidRPr="00234CED">
        <w:rPr>
          <w:noProof/>
        </w:rPr>
        <w:t>, last modified 2022, accessed September 28, 2022, https://www.beritasatu.com/lifestyle/876043/6-juta-data-pasien-rs-bocor-ini-risiko-yang-mengintai.</w:t>
      </w:r>
      <w:r w:rsidRPr="00234CED">
        <w:fldChar w:fldCharType="end"/>
      </w:r>
    </w:p>
  </w:footnote>
  <w:footnote w:id="19">
    <w:p w14:paraId="22100277" w14:textId="77777777" w:rsidR="00FB0D84" w:rsidRPr="00A65562" w:rsidRDefault="00FB0D84" w:rsidP="00FB0D84">
      <w:pPr>
        <w:pStyle w:val="FootnoteText"/>
        <w:ind w:firstLine="426"/>
      </w:pPr>
      <w:r w:rsidRPr="009B498D">
        <w:rPr>
          <w:rStyle w:val="FootnoteReference"/>
          <w:rFonts w:eastAsiaTheme="minorEastAsia"/>
        </w:rPr>
        <w:footnoteRef/>
      </w:r>
      <w:r>
        <w:t xml:space="preserve"> </w:t>
      </w:r>
      <w:r>
        <w:fldChar w:fldCharType="begin" w:fldLock="1"/>
      </w:r>
      <w:r>
        <w:instrText>ADDIN CSL_CITATION {"citationItems":[{"id":"ITEM-1","itemData":{"URL":"https://www.beritasatu.com/lifestyle/876043/6-juta-data-pasien-rs-bocor-ini-risiko-yang-mengintai","accessed":{"date-parts":[["2022","9","28"]]},"author":[{"dropping-particle":"","family":"Herman","given":"Herman","non-dropping-particle":"","parse-names":false,"suffix":""}],"container-title":"7 January 2022","id":"ITEM-1","issued":{"date-parts":[["2022"]]},"title":"6 Juta Data Pasien RS Bocor, Ini Risiko yang Mengintai","type":"webpage"},"uris":["http://www.mendeley.com/documents/?uuid=e8ddc8fb-35a2-41fc-9725-50ccaff952c2"]}],"mendeley":{"formattedCitation":"Ibid.","plainTextFormattedCitation":"Ibid.","previouslyFormattedCitation":"Ibid."},"properties":{"noteIndex":19},"schema":"https://github.com/citation-style-language/schema/raw/master/csl-citation.json"}</w:instrText>
      </w:r>
      <w:r>
        <w:fldChar w:fldCharType="separate"/>
      </w:r>
      <w:r w:rsidRPr="00A65562">
        <w:rPr>
          <w:noProof/>
        </w:rPr>
        <w:t>Ibid.</w:t>
      </w:r>
      <w:r>
        <w:fldChar w:fldCharType="end"/>
      </w:r>
    </w:p>
  </w:footnote>
  <w:footnote w:id="20">
    <w:p w14:paraId="5B3B4A0C"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DOI":"https://doi.org/10.4236/ojpp.2018.83015","author":[{"dropping-particle":"","family":"Bottis","given":"Maria","non-dropping-particle":"","parse-names":false,"suffix":""},{"dropping-particle":"","family":"Boucha","given":"George","non-dropping-particle":"","parse-names":false,"suffix":""}],"container-title":"Open Journal of Philosophy","id":"ITEM-1","issued":{"date-parts":[["2018"]]},"page":"206-215","title":"Personal Data v. Big Data: Challenges of Commodification of Personal Data","type":"article-journal","volume":"8"},"uris":["http://www.mendeley.com/documents/?uuid=af6130c2-dc1c-4364-ac0a-e625c57532b4"]}],"mendeley":{"formattedCitation":"Maria Bottis and George Boucha, “Personal Data v. Big Data: Challenges of Commodification of Personal Data,” &lt;i&gt;Open Journal of Philosophy&lt;/i&gt; 8 (2018): 206–215, http://www.scirp.org/journal/ojpp.","plainTextFormattedCitation":"Maria Bottis and George Boucha, “Personal Data v. Big Data: Challenges of Commodification of Personal Data,” Open Journal of Philosophy 8 (2018): 206–215, http://www.scirp.org/journal/ojpp.","previouslyFormattedCitation":"Maria Bottis and George Boucha, “Personal Data v. Big Data: Challenges of Commodification of Personal Data,” &lt;i&gt;Open Journal of Philosophy&lt;/i&gt; 8 (2018): 206–215, http://www.scirp.org/journal/ojpp."},"properties":{"noteIndex":20},"schema":"https://github.com/citation-style-language/schema/raw/master/csl-citation.json"}</w:instrText>
      </w:r>
      <w:r w:rsidRPr="001E3D98">
        <w:fldChar w:fldCharType="separate"/>
      </w:r>
      <w:r w:rsidRPr="001E3D98">
        <w:rPr>
          <w:noProof/>
        </w:rPr>
        <w:t xml:space="preserve">Maria Bottis and George Boucha, “Personal Data v. Big Data: Challenges of Commodification of Personal Data,” </w:t>
      </w:r>
      <w:r w:rsidRPr="001E3D98">
        <w:rPr>
          <w:i/>
          <w:noProof/>
        </w:rPr>
        <w:t>Open Journal of Philosophy</w:t>
      </w:r>
      <w:r w:rsidRPr="001E3D98">
        <w:rPr>
          <w:noProof/>
        </w:rPr>
        <w:t xml:space="preserve"> 8 (2018): 206–215, http://www.scirp.org/journal/ojpp.</w:t>
      </w:r>
      <w:r w:rsidRPr="001E3D98">
        <w:fldChar w:fldCharType="end"/>
      </w:r>
    </w:p>
  </w:footnote>
  <w:footnote w:id="21">
    <w:p w14:paraId="0C949EC1"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URL":"https://ec.europa.eu/commission/presscorner/detail/en/SPEECH_12_860","author":[{"dropping-particle":"","family":"Almunia","given":"Joaquín","non-dropping-particle":"","parse-names":false,"suffix":""}],"container-title":"European Commission","id":"ITEM-1","issued":{"date-parts":[["2012"]]},"title":"Speech - Competition and personal data protection, Commissioner Joaquín Almunia","type":"webpage"},"uris":["http://www.mendeley.com/documents/?uuid=db8e3614-a7da-4a12-8c33-16f1a0c3f98f"]}],"mendeley":{"formattedCitation":"Joaquín Almunia, “Speech - Competition and Personal Data Protection, Commissioner Joaquín Almunia,” &lt;i&gt;European Commission&lt;/i&gt;, last modified 2012, https://ec.europa.eu/commission/presscorner/detail/en/SPEECH_12_860.","plainTextFormattedCitation":"Joaquín Almunia, “Speech - Competition and Personal Data Protection, Commissioner Joaquín Almunia,” European Commission, last modified 2012, https://ec.europa.eu/commission/presscorner/detail/en/SPEECH_12_860.","previouslyFormattedCitation":"Joaquín Almunia, “Speech - Competition and Personal Data Protection, Commissioner Joaquín Almunia,” &lt;i&gt;European Commission&lt;/i&gt;, last modified 2012, https://ec.europa.eu/commission/presscorner/detail/en/SPEECH_12_860."},"properties":{"noteIndex":21},"schema":"https://github.com/citation-style-language/schema/raw/master/csl-citation.json"}</w:instrText>
      </w:r>
      <w:r w:rsidRPr="001E3D98">
        <w:fldChar w:fldCharType="separate"/>
      </w:r>
      <w:r w:rsidRPr="001E3D98">
        <w:rPr>
          <w:noProof/>
        </w:rPr>
        <w:t xml:space="preserve">Joaquín Almunia, “Speech - Competition and Personal Data Protection, Commissioner Joaquín Almunia,” </w:t>
      </w:r>
      <w:r w:rsidRPr="001E3D98">
        <w:rPr>
          <w:i/>
          <w:noProof/>
        </w:rPr>
        <w:t>European Commission</w:t>
      </w:r>
      <w:r w:rsidRPr="001E3D98">
        <w:rPr>
          <w:noProof/>
        </w:rPr>
        <w:t>, last modified 2012, https://ec.europa.eu/commission/presscorner/detail/en/SPEECH_12_860.</w:t>
      </w:r>
      <w:r w:rsidRPr="001E3D98">
        <w:fldChar w:fldCharType="end"/>
      </w:r>
    </w:p>
  </w:footnote>
  <w:footnote w:id="22">
    <w:p w14:paraId="3C9B1746"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{"citationItems":[{"id":"ITEM-1","itemData":{"author":[{"dropping-particle":"","family":"Pasquale","given":"Frank","non-dropping-particle":"","parse-names":false,"suffix":""}],"id":"ITEM-1","issued":{"date-parts":[["2015"]]},"publisher":"MA: Harvard University Press.","publisher-place":"Cambridge","title":"The Black Box Society, the Secret Algorithms that Control Money and Information","type":"book"},"uris":["http://www.mendeley.com/documents/?uuid=ff4b9af7-4f54-4f7d-a9c9-93a75996ea1a"]}],"mendeley":{"formattedCitation":"Frank Pasquale, &lt;i&gt;The Black Box Society, the Secret Algorithms That Control Money and Information&lt;/i&gt; (Cambridge: MA: Harvard University Press., 2015).","plainTextFormattedCitation":"Frank Pasquale, The Black Box Society, the Secret Algorithms That Control Money and Information (Cambridge: MA: Harvard University Press., 2015).","previouslyFormattedCitation":"Frank Pasquale, &lt;i&gt;The Black Box Society, the Secret Algorithms That Control Money and Information&lt;/i&gt; (Cambridge: MA: Harvard University Press., 2015)."},"properties":{"noteIndex":22},"schema":"https://github.com/citation-style-language/schema/raw/master/csl-citation.json"}</w:instrText>
      </w:r>
      <w:r w:rsidRPr="001E3D98">
        <w:fldChar w:fldCharType="separate"/>
      </w:r>
      <w:r w:rsidRPr="001E3D98">
        <w:rPr>
          <w:noProof/>
        </w:rPr>
        <w:t xml:space="preserve">Frank Pasquale, </w:t>
      </w:r>
      <w:r w:rsidRPr="001E3D98">
        <w:rPr>
          <w:i/>
          <w:noProof/>
        </w:rPr>
        <w:t>The Black Box Society, the Secret Algorithms That Control Money and Information</w:t>
      </w:r>
      <w:r w:rsidRPr="001E3D98">
        <w:rPr>
          <w:noProof/>
        </w:rPr>
        <w:t xml:space="preserve"> (Cambridge: MA: Harvard University Press., 2015).</w:t>
      </w:r>
      <w:r w:rsidRPr="001E3D98">
        <w:fldChar w:fldCharType="end"/>
      </w:r>
    </w:p>
  </w:footnote>
  <w:footnote w:id="23">
    <w:p w14:paraId="24D8A502"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{"citationItems":[{"id":"ITEM-1","itemData":{"DOI":"10.1509/jm.15.0497","ISSN":"15477185","abstract":"Although marketers increasingly rely on customer data, firms have little insight into the ramifications of such data use and do not know how to prevent negative effects. Data management efforts may heighten customers' vulnerability worries or create real vulnerability. Using a conceptual framework grounded in gossip theory, the authors link customer vulnerability to negative performance effects. Three studies show that transparency and control in firms' data management practices can suppress the negative effects of customer data vulnerability. Experimental manipulations reveal that mere access to personal data inflates feelings of violation and reduces trust. An event study of data security breaches affecting 414 public companies also confirms negative effects, as well as spillover vulnerabilities from rival firms' breaches, on firm performance. Severity of the breach hurts the focal firm but helps the rival firm, which provides some insight into mixed findings in prior research. Finally, a field study with actual customers of 15 companies across three industries demonstrates consistent effects across four types of customer data vulnerability and confirms that violation and trust mediate the effects of data vulnerabilities on outcomes.","author":[{"dropping-particle":"","family":"Martin","given":"Kelly D.","non-dropping-particle":"","parse-names":false,"suffix":""},{"dropping-particle":"","family":"Borah","given":"Abhishek","non-dropping-particle":"","parse-names":false,"suffix":""},{"dropping-particle":"","family":"Palmatier","given":"Robert W.","non-dropping-particle":"","parse-names":false,"suffix":""}],"container-title":"Journal of Marketing","id":"ITEM-1","issue":"1","issued":{"date-parts":[["2017"]]},"page":"36-58","title":"Data privacy: Effects on customer and firm performance","type":"article-journal","volume":"81"},"uris":["http://www.mendeley.com/documents/?uuid=f279e925-1a2c-4acb-a97f-9def5cb91c8f"]}],"mendeley":{"formattedCitation":"Kelly D. Martin, Abhishek Borah, and Robert W. Palmatier, “Data Privacy: Effects on Customer and Firm Performance,” &lt;i&gt;Journal of Marketing&lt;/i&gt; 81, no. 1 (2017): 36–58.","plainTextFormattedCitation":"Kelly D. Martin, Abhishek Borah, and Robert W. Palmatier, “Data Privacy: Effects on Customer and Firm Performance,” Journal of Marketing 81, no. 1 (2017): 36–58.","previouslyFormattedCitation":"Kelly D. Martin, Abhishek Borah, and Robert W. Palmatier, “Data Privacy: Effects on Customer and Firm Performance,” &lt;i&gt;Journal of Marketing&lt;/i&gt; 81, no. 1 (2017): 36–58."},"properties":{"noteIndex":23},"schema":"https://github.com/citation-style-language/schema/raw/master/csl-citation.json"}</w:instrText>
      </w:r>
      <w:r w:rsidRPr="001E3D98">
        <w:fldChar w:fldCharType="separate"/>
      </w:r>
      <w:r w:rsidRPr="001E3D98">
        <w:rPr>
          <w:noProof/>
        </w:rPr>
        <w:t xml:space="preserve">Kelly D. Martin, Abhishek Borah, and Robert W. Palmatier, “Data Privacy: Effects on Customer and Firm Performance,” </w:t>
      </w:r>
      <w:r w:rsidRPr="001E3D98">
        <w:rPr>
          <w:i/>
          <w:noProof/>
        </w:rPr>
        <w:t>Journal of Marketing</w:t>
      </w:r>
      <w:r w:rsidRPr="001E3D98">
        <w:rPr>
          <w:noProof/>
        </w:rPr>
        <w:t xml:space="preserve"> 81, no. 1 (2017): 36–58.</w:t>
      </w:r>
      <w:r w:rsidRPr="001E3D98">
        <w:fldChar w:fldCharType="end"/>
      </w:r>
    </w:p>
  </w:footnote>
  <w:footnote w:id="24">
    <w:p w14:paraId="263F09A1" w14:textId="77777777" w:rsidR="00FB0D84" w:rsidRPr="000C610E" w:rsidRDefault="00FB0D84" w:rsidP="00FB0D84">
      <w:pPr>
        <w:pStyle w:val="FootnoteText"/>
        <w:ind w:firstLine="567"/>
      </w:pPr>
      <w:r w:rsidRPr="009B498D">
        <w:rPr>
          <w:rStyle w:val="FootnoteReference"/>
          <w:rFonts w:eastAsiaTheme="minorEastAsia"/>
        </w:rPr>
        <w:footnoteRef/>
      </w:r>
      <w:r>
        <w:t xml:space="preserve"> </w:t>
      </w:r>
      <w:r w:rsidRPr="000C610E">
        <w:fldChar w:fldCharType="begin" w:fldLock="1"/>
      </w:r>
      <w:r>
        <w:instrText>ADDIN CSL_CITATION {"citationItems":[{"id":"ITEM-1","itemData":{"DOI":"10.6084/m9.figshare.1284635","author":[{"dropping-particle":"","family":"Koyame-Marsh","given":"Rita O.","non-dropping-particle":"","parse-names":false,"suffix":""},{"dropping-particle":"","family":"Marsh","given":"John L.","non-dropping-particle":"","parse-names":false,"suffix":""}],"container-title":"IOSR Journal of Economics and Finance (IOSR-JEF)","id":"ITEM-1","issue":"6","issued":{"date-parts":[["2014"]]},"page":"36-45","title":"Data Breaches and Identity Theft: Costs and Responses","type":"article-journal","volume":"5"},"uris":["http://www.mendeley.com/documents/?uuid=ea85786c-29f4-4157-b505-aaba24772671","http://www.mendeley.com/documents/?uuid=d6fa7f00-7762-4d95-8d0a-3cf6cd0572b2"]}],"mendeley":{"formattedCitation":"Rita O. Koyame-Marsh and John L. Marsh, “Data Breaches and Identity Theft: Costs and Responses,” &lt;i&gt;IOSR Journal of Economics and Finance (IOSR-JEF)&lt;/i&gt; 5, no. 6 (2014): 36–45, www.iosrjournals.org.","plainTextFormattedCitation":"Rita O. Koyame-Marsh and John L. Marsh, “Data Breaches and Identity Theft: Costs and Responses,” IOSR Journal of Economics and Finance (IOSR-JEF) 5, no. 6 (2014): 36–45, www.iosrjournals.org.","previouslyFormattedCitation":"Rita O. Koyame-Marsh and John L. Marsh, “Data Breaches and Identity Theft: Costs and Responses,” &lt;i&gt;IOSR Journal of Economics and Finance (IOSR-JEF)&lt;/i&gt; 5, no. 6 (2014): 36–45, www.iosrjournals.org."},"properties":{"noteIndex":24},"schema":"https://github.com/citation-style-language/schema/raw/master/csl-citation.json"}</w:instrText>
      </w:r>
      <w:r w:rsidRPr="000C610E">
        <w:fldChar w:fldCharType="separate"/>
      </w:r>
      <w:r w:rsidRPr="005D6F7A">
        <w:rPr>
          <w:noProof/>
        </w:rPr>
        <w:t xml:space="preserve">Rita O. Koyame-Marsh and John L. Marsh, “Data Breaches and Identity Theft: Costs and Responses,” </w:t>
      </w:r>
      <w:r w:rsidRPr="005D6F7A">
        <w:rPr>
          <w:i/>
          <w:noProof/>
        </w:rPr>
        <w:t>IOSR Journal of Economics and Finance (IOSR-JEF)</w:t>
      </w:r>
      <w:r w:rsidRPr="005D6F7A">
        <w:rPr>
          <w:noProof/>
        </w:rPr>
        <w:t xml:space="preserve"> 5, no. 6 (2014): 36–45, www.iosrjournals.org.</w:t>
      </w:r>
      <w:r w:rsidRPr="000C610E">
        <w:fldChar w:fldCharType="end"/>
      </w:r>
    </w:p>
  </w:footnote>
  <w:footnote w:id="25">
    <w:p w14:paraId="5B613F67" w14:textId="77777777" w:rsidR="00FB0D84" w:rsidRPr="000C610E" w:rsidRDefault="00FB0D84" w:rsidP="00FB0D84">
      <w:pPr>
        <w:pStyle w:val="FootnoteText"/>
        <w:ind w:firstLine="567"/>
      </w:pPr>
      <w:r w:rsidRPr="009B498D">
        <w:rPr>
          <w:rStyle w:val="FootnoteReference"/>
          <w:rFonts w:eastAsiaTheme="minorEastAsia"/>
        </w:rPr>
        <w:footnoteRef/>
      </w:r>
      <w:r w:rsidRPr="000C610E">
        <w:t xml:space="preserve"> </w:t>
      </w:r>
      <w:r w:rsidRPr="000C610E">
        <w:fldChar w:fldCharType="begin" w:fldLock="1"/>
      </w:r>
      <w:r>
        <w:instrText>ADDIN CSL_CITATION {"citationItems":[{"id":"ITEM-1","itemData":{"DOI":"10.5171/2020.341252","ISSN":"19473788","abstract":"The aim of the article is to present the essence of patient safety and the role, goals, benefits and areas of application of eHealth in the process of patient safety management. The development of information and communication technologies creates opportunities to support innovation in the health services sector in the field of e-health services and tools. However, the implementation of digital technologies in the field of health has a significant impact on patient safety. Therefore, the question of the possibility of using e-health services and tools in supporting patient safety management becomes a key issue. The article is conceptual in nature and was developed using research methods such as: review and indepth analysis of literature and documents on health policy, reports and legal acts. eHealth services and tools can be used in a variety of activities in the patient safety management process, but require consistent, complex interaction at all levels of the healthcare system, as well as cross-sectoral and international cooperation. This applies to both cooperation in the field of technology and the legal framework for using the potential of e-health. Particularly important in the implementation of digital technologies is ensuring data security and active participation of patients and medical staff in developing health awareness, their involvement in communication and educational processes.","author":[{"dropping-particle":"","family":"Dymyt","given":"Malgorzata","non-dropping-particle":"","parse-names":false,"suffix":""}],"container-title":"Journal of e-health Management","id":"ITEM-1","issued":{"date-parts":[["2020"]]},"page":"1-13","title":"The Role of eHealth in the Management of Patient Safety","type":"article-journal","volume":"2020"},"uris":["http://www.mendeley.com/documents/?uuid=ebf0fe89-a8cb-4d8c-9358-02e49b7cc7f8"]}],"mendeley":{"formattedCitation":"Dymyt, “The Role of EHealth in the Management of Patient Safety.”","plainTextFormattedCitation":"Dymyt, “The Role of EHealth in the Management of Patient Safety.”","previouslyFormattedCitation":"Dymyt, “The Role of EHealth in the Management of Patient Safety.”"},"properties":{"noteIndex":25},"schema":"https://github.com/citation-style-language/schema/raw/master/csl-citation.json"}</w:instrText>
      </w:r>
      <w:r w:rsidRPr="000C610E">
        <w:fldChar w:fldCharType="separate"/>
      </w:r>
      <w:r w:rsidRPr="000C610E">
        <w:rPr>
          <w:noProof/>
        </w:rPr>
        <w:t>Dymyt, “The Role of EHealth in the Management of Patient Safety.”</w:t>
      </w:r>
      <w:r w:rsidRPr="000C610E">
        <w:fldChar w:fldCharType="end"/>
      </w:r>
    </w:p>
  </w:footnote>
  <w:footnote w:id="26">
    <w:p w14:paraId="3CCA2B0F"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{"citationItems":[{"id":"ITEM-1","itemData":{"ISBN":"9223372036854","author":[{"dropping-particle":"","family":"Bahalul","given":"Haque","non-dropping-particle":"","parse-names":false,"suffix":""},{"dropping-particle":"","family":"Pranto","given":"Tahmid Hasan","non-dropping-particle":"","parse-names":false,"suffix":""}],"container-title":"International Journal of Emerging Technologies in Engineering Research (IJETER)","id":"ITEM-1","issue":"7","issued":{"date-parts":[["2020"]]},"page":"1-8","title":"Health Data Security : A Privacy-Preserving Proposed Strategy for Bangladesh","type":"article-journal","volume":"8"},"uris":["http://www.mendeley.com/documents/?uuid=d7a0d696-5202-4b42-a34e-83907a20378f"]}],"mendeley":{"formattedCitation":"Haque Bahalul and Tahmid Hasan Pranto, “Health Data Security : A Privacy-Preserving Proposed Strategy for Bangladesh,” &lt;i&gt;International Journal of Emerging Technologies in Engineering Research (IJETER)&lt;/i&gt; 8, no. 7 (2020): 1–8.","plainTextFormattedCitation":"Haque Bahalul and Tahmid Hasan Pranto, “Health Data Security : A Privacy-Preserving Proposed Strategy for Bangladesh,” International Journal of Emerging Technologies in Engineering Research (IJETER) 8, no. 7 (2020): 1–8.","previouslyFormattedCitation":"Haque Bahalul and Tahmid Hasan Pranto, “Health Data Security : A Privacy-Preserving Proposed Strategy for Bangladesh,” &lt;i&gt;International Journal of Emerging Technologies in Engineering Research (IJETER)&lt;/i&gt; 8, no. 7 (2020): 1–8."},"properties":{"noteIndex":26},"schema":"https://github.com/citation-style-language/schema/raw/master/csl-citation.json"}</w:instrText>
      </w:r>
      <w:r w:rsidRPr="001E3D98">
        <w:fldChar w:fldCharType="separate"/>
      </w:r>
      <w:r w:rsidRPr="001E3D98">
        <w:rPr>
          <w:noProof/>
        </w:rPr>
        <w:t xml:space="preserve">Haque Bahalul and Tahmid Hasan Pranto, “Health Data Security : A Privacy-Preserving Proposed Strategy for Bangladesh,” </w:t>
      </w:r>
      <w:r w:rsidRPr="001E3D98">
        <w:rPr>
          <w:i/>
          <w:noProof/>
        </w:rPr>
        <w:t>International Journal of Emerging Technologies in Engineering Research (IJETER)</w:t>
      </w:r>
      <w:r w:rsidRPr="001E3D98">
        <w:rPr>
          <w:noProof/>
        </w:rPr>
        <w:t xml:space="preserve"> 8, no. 7 (2020): 1–8.</w:t>
      </w:r>
      <w:r w:rsidRPr="001E3D98">
        <w:fldChar w:fldCharType="end"/>
      </w:r>
    </w:p>
  </w:footnote>
  <w:footnote w:id="27">
    <w:p w14:paraId="32E2B3B8" w14:textId="77777777" w:rsidR="00FB0D84" w:rsidRPr="001E3D98" w:rsidRDefault="00FB0D84" w:rsidP="00FB0D84">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{"citationItems":[{"id":"ITEM-1","itemData":{"DOI":"10.21776/ub.arenahukum.2016.00903.6","ISSN":"01260235","abstract":"Abstract The ICT advancement to connect health centers and hospitals to use electronic health applications (e-health) has become a global issue. E-health which is one of the Action Plan of the World Summit on the Information Society (WSIS) Geneva 2003 is an ICT-based application for the health care industry. The use of e-health application is to improve access, efficiency, effectiveness, and quality of medical process involving the organization of medical services in hospitals, clinics, health centers, medical practitioners both doctors and therapists, laboratories, pharmacies, insurers also involves the patient as a consumer. But in the service process will collect some sensitive personal data of consumers and cause new legal problems, to what extent of the health providers can protect the personal data of patients that their personal data can be accessed, disseminated easier through advances in ICTs. This research aims to examine in depth about how far patient's personal data will be protected in e-health program and how far the existing law has provided protection. The method used is normative juridical approach with descriptive analytical specifications. The process of data collection is done through literature and field research. The results of the research to date e-health program has been carried out in several provinces in Indonesia but until now the existing regulations do not provide maximum protection of personal data of patients. The approach of existing law is still sectoral and very general therefore has not yet provide maximum protection Abstrak Pemanfaatan Teknologi Informasi dan Komunikasi (TIK) untuk menghubungkan pusat kesehatan maupun rumah sakit dengan menggunakan aplikasi electronic health (e-health) telah menjadi isu global. E-health yang merupakan salah satu Rencana Aksi World Summit on the Information Society (WSIS) Geneva 2003 tersebut merupakan aplikasi berbasis TIK untuk industri pelayanan kesehatan. Penggunaan aplikasi e-health bertujuan untuk meningkatkan akses, efisiensi, efektivitas, serta kualitas proses medis yang melibatkan organisasi pelayanan medis di rumah sakit, klinik, puskesmas, praktisi medis baik dokter maupun terapis, laboratorium, apotek, asuransi juga melibatkan pasien sebagai konsumen. Akan tetapi dalam proses pelayanan dengan menggunakan program E-health akan mengumpulkan sejumlah data pribadi konsumen yang merupakan data pribadi sensitif dan menimbulkan permasalahan hukum yang baru yaitu sejauhmana pihak …","author":[{"dropping-particle":"","family":"Rosadi","given":"Sinta","non-dropping-particle":"","parse-names":false,"suffix":""}],"container-title":"Arena Hukum","id":"ITEM-1","issue":"3","issued":{"date-parts":[["2016"]]},"page":"403-420","title":"Implikasi Penerapan Program E-Health Dihubungkan Dengan Perlindungan Data Pribadi","type":"article-journal","volume":"9"},"uris":["http://www.mendeley.com/documents/?uuid=0c1aa38e-5892-4a89-a1d7-1f72a7753698"]}],"mendeley":{"formattedCitation":"Sinta Rosadi, “Implikasi Penerapan Program E-Health Dihubungkan Dengan Perlindungan Data Pribadi,” &lt;i&gt;Arena Hukum&lt;/i&gt; 9, no. 3 (2016): 403–420.","plainTextFormattedCitation":"Sinta Rosadi, “Implikasi Penerapan Program E-Health Dihubungkan Dengan Perlindungan Data Pribadi,” Arena Hukum 9, no. 3 (2016): 403–420.","previouslyFormattedCitation":"Sinta Rosadi, “Implikasi Penerapan Program E-Health Dihubungkan Dengan Perlindungan Data Pribadi,” &lt;i&gt;Arena Hukum&lt;/i&gt; 9, no. 3 (2016): 403–420."},"properties":{"noteIndex":27},"schema":"https://github.com/citation-style-language/schema/raw/master/csl-citation.json"}</w:instrText>
      </w:r>
      <w:r w:rsidRPr="001E3D98">
        <w:fldChar w:fldCharType="separate"/>
      </w:r>
      <w:r w:rsidRPr="001E3D98">
        <w:rPr>
          <w:noProof/>
        </w:rPr>
        <w:t xml:space="preserve">Sinta Rosadi, “Implikasi Penerapan Program E-Health Dihubungkan Dengan Perlindungan Data Pribadi,” </w:t>
      </w:r>
      <w:r w:rsidRPr="001E3D98">
        <w:rPr>
          <w:i/>
          <w:noProof/>
        </w:rPr>
        <w:t>Arena Hukum</w:t>
      </w:r>
      <w:r w:rsidRPr="001E3D98">
        <w:rPr>
          <w:noProof/>
        </w:rPr>
        <w:t xml:space="preserve"> 9, no. 3 (2016): 403–420.</w:t>
      </w:r>
      <w:r w:rsidRPr="001E3D98">
        <w:fldChar w:fldCharType="end"/>
      </w:r>
    </w:p>
  </w:footnote>
  <w:footnote w:id="28">
    <w:p w14:paraId="3620F888"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DOI":"10.18352/ulr.411","ISSN":"1871515X","author":[{"dropping-particle":"","family":"Langbroek","given":"Philip","non-dropping-particle":"","parse-names":false,"suffix":""},{"dropping-particle":"","family":"Bos","given":"Kees","non-dropping-particle":"van den","parse-names":false,"suffix":""},{"dropping-particle":"","family":"Thomas","given":"Marc Simon","non-dropping-particle":"","parse-names":false,"suffix":""},{"dropping-particle":"","family":"Milo","given":"Michael","non-dropping-particle":"","parse-names":false,"suffix":""},{"dropping-particle":"","family":"Rossum","given":"Wibo","non-dropping-particle":"van","parse-names":false,"suffix":""}],"container-title":"Utrecht Law Review","id":"ITEM-1","issue":"3","issued":{"date-parts":[["2017"]]},"page":"1-8","title":"Methodology of legal research: Challenges and opportunities","type":"article-journal","volume":"13"},"uris":["http://www.mendeley.com/documents/?uuid=e11b8443-dec0-4c0d-8c44-6efb1756440f"]}],"mendeley":{"formattedCitation":"Philip Langbroek et al., “Methodology of Legal Research: Challenges and Opportunities,” &lt;i&gt;Utrecht Law Review&lt;/i&gt; 13, no. 3 (2017): 1–8.","plainTextFormattedCitation":"Philip Langbroek et al., “Methodology of Legal Research: Challenges and Opportunities,” Utrecht Law Review 13, no. 3 (2017): 1–8.","previouslyFormattedCitation":"Philip Langbroek et al., “Methodology of Legal Research: Challenges and Opportunities,” &lt;i&gt;Utrecht Law Review&lt;/i&gt; 13, no. 3 (2017): 1–8."},"properties":{"noteIndex":28},"schema":"https://github.com/citation-style-language/schema/raw/master/csl-citation.json"}</w:instrText>
      </w:r>
      <w:r w:rsidRPr="001E3D98">
        <w:fldChar w:fldCharType="separate"/>
      </w:r>
      <w:r w:rsidRPr="001E3D98">
        <w:rPr>
          <w:noProof/>
        </w:rPr>
        <w:t xml:space="preserve">Philip Langbroek et al., “Methodology of Legal Research: Challenges and Opportunities,” </w:t>
      </w:r>
      <w:r w:rsidRPr="001E3D98">
        <w:rPr>
          <w:i/>
          <w:noProof/>
        </w:rPr>
        <w:t>Utrecht Law Review</w:t>
      </w:r>
      <w:r w:rsidRPr="001E3D98">
        <w:rPr>
          <w:noProof/>
        </w:rPr>
        <w:t xml:space="preserve"> 13, no. 3 (2017): 1–8.</w:t>
      </w:r>
      <w:r w:rsidRPr="001E3D98">
        <w:fldChar w:fldCharType="end"/>
      </w:r>
    </w:p>
  </w:footnote>
  <w:footnote w:id="29">
    <w:p w14:paraId="29EB4FF3"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{"citationItems":[{"id":"ITEM-1","itemData":{"author":[{"dropping-particle":"","family":"Soekanto","given":"Soerjono","non-dropping-particle":"","parse-names":false,"suffix":""}],"edition":"cet.3","id":"ITEM-1","issued":{"date-parts":[["1986"]]},"publisher":"Universitas Indonesia","publisher-place":"Jakarta","title":"Pengantar Penelitian Hukum","type":"book"},"uris":["http://www.mendeley.com/documents/?uuid=27225117-295f-4ee4-b77a-eb6e21aec2a0"]}],"mendeley":{"formattedCitation":"Soerjono Soekanto, &lt;i&gt;Pengantar Penelitian Hukum&lt;/i&gt;, cet. 3. (Jakarta: Universitas Indonesia, 1986).","plainTextFormattedCitation":"Soerjono Soekanto, Pengantar Penelitian Hukum, cet. 3. (Jakarta: Universitas Indonesia, 1986).","previouslyFormattedCitation":"Soerjono Soekanto, &lt;i&gt;Pengantar Penelitian Hukum&lt;/i&gt;, cet. 3. (Jakarta: Universitas Indonesia, 1986)."},"properties":{"noteIndex":29},"schema":"https://github.com/citation-style-language/schema/raw/master/csl-citation.json"}</w:instrText>
      </w:r>
      <w:r w:rsidRPr="001E3D98">
        <w:fldChar w:fldCharType="separate"/>
      </w:r>
      <w:r w:rsidRPr="001E3D98">
        <w:rPr>
          <w:noProof/>
        </w:rPr>
        <w:t xml:space="preserve">Soerjono Soekanto, </w:t>
      </w:r>
      <w:r w:rsidRPr="001E3D98">
        <w:rPr>
          <w:i/>
          <w:noProof/>
        </w:rPr>
        <w:t>Pengantar Penelitian Hukum</w:t>
      </w:r>
      <w:r w:rsidRPr="001E3D98">
        <w:rPr>
          <w:noProof/>
        </w:rPr>
        <w:t>, cet. 3. (Jakarta: Universitas Indonesia, 1986).</w:t>
      </w:r>
      <w:r w:rsidRPr="001E3D98">
        <w:fldChar w:fldCharType="end"/>
      </w:r>
    </w:p>
  </w:footnote>
  <w:footnote w:id="30">
    <w:p w14:paraId="4366EF40"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{"citationItems":[{"id":"ITEM-1","itemData":{"author":[{"dropping-particle":"","family":"Jain","given":"S. N","non-dropping-particle":"","parse-names":false,"suffix":""}],"container-title":"Journal of the Indian Law Institute","id":"ITEM-1","issue":"4","issued":{"date-parts":[["1972"]]},"page":"487–500","title":"Legal research and methodology","type":"article-journal","volume":"14"},"uris":["http://www.mendeley.com/documents/?uuid=535eedd7-9c62-40ed-9863-56177b55fa2a"]}],"mendeley":{"formattedCitation":"S. N Jain, “Legal Research and Methodology,” &lt;i&gt;Journal of the Indian Law Institute&lt;/i&gt; 14, no. 4 (1972): 487–500, https://www.jstor.org/stable/43950155.","plainTextFormattedCitation":"S. N Jain, “Legal Research and Methodology,” Journal of the Indian Law Institute 14, no. 4 (1972): 487–500, https://www.jstor.org/stable/43950155.","previouslyFormattedCitation":"S. N Jain, “Legal Research and Methodology,” &lt;i&gt;Journal of the Indian Law Institute&lt;/i&gt; 14, no. 4 (1972): 487–500, https://www.jstor.org/stable/43950155."},"properties":{"noteIndex":30},"schema":"https://github.com/citation-style-language/schema/raw/master/csl-citation.json"}</w:instrText>
      </w:r>
      <w:r w:rsidRPr="001E3D98">
        <w:fldChar w:fldCharType="separate"/>
      </w:r>
      <w:r w:rsidRPr="001E3D98">
        <w:rPr>
          <w:noProof/>
        </w:rPr>
        <w:t xml:space="preserve">S. N Jain, “Legal Research and Methodology,” </w:t>
      </w:r>
      <w:r w:rsidRPr="001E3D98">
        <w:rPr>
          <w:i/>
          <w:noProof/>
        </w:rPr>
        <w:t>Journal of the Indian Law Institute</w:t>
      </w:r>
      <w:r w:rsidRPr="001E3D98">
        <w:rPr>
          <w:noProof/>
        </w:rPr>
        <w:t xml:space="preserve"> 14, no. 4 (1972): 487–500, https://www.jstor.org/stable/43950155.</w:t>
      </w:r>
      <w:r w:rsidRPr="001E3D98">
        <w:fldChar w:fldCharType="end"/>
      </w:r>
    </w:p>
  </w:footnote>
  <w:footnote w:id="31">
    <w:p w14:paraId="5EF53926"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{"citationItems":[{"id":"ITEM-1","itemData":{"author":[{"dropping-particle":"","family":"Amiruddin &amp; Asikin","given":"Z","non-dropping-particle":"","parse-names":false,"suffix":""}],"id":"ITEM-1","issued":{"date-parts":[["2003"]]},"publisher":"Raja Grafindo Persada","publisher-place":"Jakarta","title":"Pengantar metode penelitian hukum","type":"book"},"uris":["http://www.mendeley.com/documents/?uuid=bc4d2d94-6500-4c3a-baf9-5c997f299188"]}],"mendeley":{"formattedCitation":"Z Amiruddin &amp; Asikin, &lt;i&gt;Pengantar Metode Penelitian Hukum&lt;/i&gt; (Jakarta: Raja Grafindo Persada, 2003).","plainTextFormattedCitation":"Z Amiruddin &amp; Asikin, Pengantar Metode Penelitian Hukum (Jakarta: Raja Grafindo Persada, 2003).","previouslyFormattedCitation":"Z Amiruddin &amp; Asikin, &lt;i&gt;Pengantar Metode Penelitian Hukum&lt;/i&gt; (Jakarta: Raja Grafindo Persada, 2003)."},"properties":{"noteIndex":31},"schema":"https://github.com/citation-style-language/schema/raw/master/csl-citation.json"}</w:instrText>
      </w:r>
      <w:r w:rsidRPr="001E3D98">
        <w:fldChar w:fldCharType="separate"/>
      </w:r>
      <w:r w:rsidRPr="001E3D98">
        <w:rPr>
          <w:noProof/>
        </w:rPr>
        <w:t xml:space="preserve">Z Amiruddin &amp; Asikin, </w:t>
      </w:r>
      <w:r w:rsidRPr="001E3D98">
        <w:rPr>
          <w:i/>
          <w:noProof/>
        </w:rPr>
        <w:t>Pengantar Metode Penelitian Hukum</w:t>
      </w:r>
      <w:r w:rsidRPr="001E3D98">
        <w:rPr>
          <w:noProof/>
        </w:rPr>
        <w:t xml:space="preserve"> (Jakarta: Raja Grafindo Persada, 2003).</w:t>
      </w:r>
      <w:r w:rsidRPr="001E3D98">
        <w:fldChar w:fldCharType="end"/>
      </w:r>
    </w:p>
  </w:footnote>
  <w:footnote w:id="32">
    <w:p w14:paraId="009E4AEA"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{"citationItems":[{"id":"ITEM-1","itemData":{"DOI":"10.47992/ijmts.2581.6012.0075","abstract":"Human beings possess instinct of inquisitiveness in cases of confronting with the unknown aspects of life which probe to attain greater understanding on such uncertainty. This inquisitiveness is the method which man employs for obtaining knowledge is termed as research. It is the art of scientific enquiry into new facts conducted in any branch of knowledge. Generally, Research is the movement from the known towards the unknown to be called as the voyage of discovery. It originally contributes to the existing stock of knowledge facilitating its advancement. Truth is pursued with the help of study, observation, comparison and experiment. Systematic study of the law through doctrinal and non-doctrinal research methods considers to be the socio-legal studies aiming to analyze the impact of legal mechanism on the social system. This paper introduces into the fundamentals of legal research, socio-legal studies, conceptual framework on doctrinal research, steps of doctrinal studies, limitations and differences between doctrinal and non-doctrinal legal research methods.","author":[{"dropping-particle":"","family":"M.D.","given":"Pradeep","non-dropping-particle":"","parse-names":false,"suffix":""}],"container-title":"International Journal of Management, Technology, and Social Sciences","id":"ITEM-1","issue":"2","issued":{"date-parts":[["2019"]]},"page":"95-103","title":"Legal Research- Descriptive Analysis on Doctrinal Methodology","type":"article-journal","volume":"4"},"uris":["http://www.mendeley.com/documents/?uuid=8a5e17d8-bd9a-433e-a657-704e9f19bdc3"]}],"mendeley":{"formattedCitation":"Pradeep M.D., “Legal Research- Descriptive Analysis on Doctrinal Methodology,” &lt;i&gt;International Journal of Management, Technology, and Social Sciences&lt;/i&gt; 4, no. 2 (2019): 95–103.","plainTextFormattedCitation":"Pradeep M.D., “Legal Research- Descriptive Analysis on Doctrinal Methodology,” International Journal of Management, Technology, and Social Sciences 4, no. 2 (2019): 95–103.","previouslyFormattedCitation":"Pradeep M.D., “Legal Research- Descriptive Analysis on Doctrinal Methodology,” &lt;i&gt;International Journal of Management, Technology, and Social Sciences&lt;/i&gt; 4, no. 2 (2019): 95–103."},"properties":{"noteIndex":32},"schema":"https://github.com/citation-style-language/schema/raw/master/csl-citation.json"}</w:instrText>
      </w:r>
      <w:r w:rsidRPr="001E3D98">
        <w:fldChar w:fldCharType="separate"/>
      </w:r>
      <w:r w:rsidRPr="001E3D98">
        <w:rPr>
          <w:noProof/>
        </w:rPr>
        <w:t xml:space="preserve">Pradeep M.D., “Legal Research- Descriptive Analysis on Doctrinal Methodology,” </w:t>
      </w:r>
      <w:r w:rsidRPr="001E3D98">
        <w:rPr>
          <w:i/>
          <w:noProof/>
        </w:rPr>
        <w:t>International Journal of Management, Technology, and Social Sciences</w:t>
      </w:r>
      <w:r w:rsidRPr="001E3D98">
        <w:rPr>
          <w:noProof/>
        </w:rPr>
        <w:t xml:space="preserve"> 4, no. 2 (2019): 95–103.</w:t>
      </w:r>
      <w:r w:rsidRPr="001E3D98">
        <w:fldChar w:fldCharType="end"/>
      </w:r>
    </w:p>
  </w:footnote>
  <w:footnote w:id="33">
    <w:p w14:paraId="53AC99E5"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{"citationItems":[{"id":"ITEM-1","itemData":{"id":"ITEM-1","issued":{"date-parts":[["0"]]},"title":"The Law Number 19 of 2016 concerning Amendments to Law Number 11 of 2008 on Information and Electronic Transactions","type":"legislation"},"uris":["http://www.mendeley.com/documents/?uuid=3fd3a0d1-df6f-4303-a2c9-5c9d247a01eb"]}],"mendeley":{"formattedCitation":"&lt;i&gt;The Law Number 19 of 2016 Concerning Amendments to Law Number 11 of 2008 on Information and Electronic Transactions&lt;/i&gt;, n.d.","plainTextFormattedCitation":"The Law Number 19 of 2016 Concerning Amendments to Law Number 11 of 2008 on Information and Electronic Transactions, n.d.","previouslyFormattedCitation":"&lt;i&gt;The Law Number 19 of 2016 Concerning Amendments to Law Number 11 of 2008 on Information and Electronic Transactions&lt;/i&gt;, n.d."},"properties":{"noteIndex":33},"schema":"https://github.com/citation-style-language/schema/raw/master/csl-citation.json"}</w:instrText>
      </w:r>
      <w:r w:rsidRPr="001E3D98">
        <w:fldChar w:fldCharType="separate"/>
      </w:r>
      <w:r w:rsidRPr="001E3D98">
        <w:rPr>
          <w:i/>
          <w:noProof/>
        </w:rPr>
        <w:t>The Law Number 19 of 2016 Concerning Amendments to Law Number 11 of 2008 on Information and Electronic Transactions</w:t>
      </w:r>
      <w:r w:rsidRPr="001E3D98">
        <w:rPr>
          <w:noProof/>
        </w:rPr>
        <w:t>, n.d.</w:t>
      </w:r>
      <w:r w:rsidRPr="001E3D98">
        <w:fldChar w:fldCharType="end"/>
      </w:r>
    </w:p>
  </w:footnote>
  <w:footnote w:id="34">
    <w:p w14:paraId="1F98CA73"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{"citationItems":[{"id":"ITEM-1","itemData":{"id":"ITEM-1","issued":{"date-parts":[["0"]]},"title":"Government Regulation Number 71 Year 2019 on the Implementation of Electronic Systems and Transactions","type":"legislation"},"uris":["http://www.mendeley.com/documents/?uuid=7174a3dd-ae25-4ea3-8175-30861c4bd8c3"]}],"mendeley":{"formattedCitation":"&lt;i&gt;Government Regulation Number 71 Year 2019 on the Implementation of Electronic Systems and Transactions&lt;/i&gt;, n.d.","plainTextFormattedCitation":"Government Regulation Number 71 Year 2019 on the Implementation of Electronic Systems and Transactions, n.d.","previouslyFormattedCitation":"&lt;i&gt;Government Regulation Number 71 Year 2019 on the Implementation of Electronic Systems and Transactions&lt;/i&gt;, n.d."},"properties":{"noteIndex":34},"schema":"https://github.com/citation-style-language/schema/raw/master/csl-citation.json"}</w:instrText>
      </w:r>
      <w:r w:rsidRPr="001E3D98">
        <w:fldChar w:fldCharType="separate"/>
      </w:r>
      <w:r w:rsidRPr="001E3D98">
        <w:rPr>
          <w:i/>
          <w:noProof/>
        </w:rPr>
        <w:t>Government Regulation Number 71 Year 2019 on the Implementation of Electronic Systems and Transactions</w:t>
      </w:r>
      <w:r w:rsidRPr="001E3D98">
        <w:rPr>
          <w:noProof/>
        </w:rPr>
        <w:t>, n.d.</w:t>
      </w:r>
      <w:r w:rsidRPr="001E3D98">
        <w:fldChar w:fldCharType="end"/>
      </w:r>
    </w:p>
  </w:footnote>
  <w:footnote w:id="35">
    <w:p w14:paraId="439B5E11"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{"citationItems":[{"id":"ITEM-1","itemData":{"id":"ITEM-1","issued":{"date-parts":[["0"]]},"title":"Government Regulation No. 80 of 2019 on Trading Through Electronic Systems","type":"legislation"},"uris":["http://www.mendeley.com/documents/?uuid=cd0d4a28-1ec4-4abd-bd3c-66f48aa3db38"]}],"mendeley":{"formattedCitation":"&lt;i&gt;Government Regulation No. 80 of 2019 on Trading Through Electronic Systems&lt;/i&gt;, n.d.","plainTextFormattedCitation":"Government Regulation No. 80 of 2019 on Trading Through Electronic Systems, n.d.","previouslyFormattedCitation":"&lt;i&gt;Government Regulation No. 80 of 2019 on Trading Through Electronic Systems&lt;/i&gt;, n.d."},"properties":{"noteIndex":35},"schema":"https://github.com/citation-style-language/schema/raw/master/csl-citation.json"}</w:instrText>
      </w:r>
      <w:r w:rsidRPr="001E3D98">
        <w:fldChar w:fldCharType="separate"/>
      </w:r>
      <w:r w:rsidRPr="001E3D98">
        <w:rPr>
          <w:i/>
          <w:noProof/>
        </w:rPr>
        <w:t>Government Regulation No. 80 of 2019 on Trading Through Electronic Systems</w:t>
      </w:r>
      <w:r w:rsidRPr="001E3D98">
        <w:rPr>
          <w:noProof/>
        </w:rPr>
        <w:t>, n.d.</w:t>
      </w:r>
      <w:r w:rsidRPr="001E3D98">
        <w:fldChar w:fldCharType="end"/>
      </w:r>
    </w:p>
  </w:footnote>
  <w:footnote w:id="36">
    <w:p w14:paraId="3A74862C"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{"citationItems":[{"id":"ITEM-1","itemData":{"id":"ITEM-1","issued":{"date-parts":[["0"]]},"title":"The Minister of Communication and Informatics No. 20 of 2016 on Protection of Personal Data in Electronic Systems","type":"legislation"},"uris":["http://www.mendeley.com/documents/?uuid=2e96f18f-a398-4784-b434-43231d53db35"]}],"mendeley":{"formattedCitation":"&lt;i&gt;The Minister of Communication and Informatics No. 20 of 2016 on Protection of Personal Data in Electronic Systems&lt;/i&gt;, n.d.","plainTextFormattedCitation":"The Minister of Communication and Informatics No. 20 of 2016 on Protection of Personal Data in Electronic Systems, n.d.","previouslyFormattedCitation":"&lt;i&gt;The Minister of Communication and Informatics No. 20 of 2016 on Protection of Personal Data in Electronic Systems&lt;/i&gt;, n.d."},"properties":{"noteIndex":36},"schema":"https://github.com/citation-style-language/schema/raw/master/csl-citation.json"}</w:instrText>
      </w:r>
      <w:r w:rsidRPr="001E3D98">
        <w:fldChar w:fldCharType="separate"/>
      </w:r>
      <w:r w:rsidRPr="001E3D98">
        <w:rPr>
          <w:i/>
          <w:noProof/>
        </w:rPr>
        <w:t>The Minister of Communication and Informatics No. 20 of 2016 on Protection of Personal Data in Electronic Systems</w:t>
      </w:r>
      <w:r w:rsidRPr="001E3D98">
        <w:rPr>
          <w:noProof/>
        </w:rPr>
        <w:t>, n.d.</w:t>
      </w:r>
      <w:r w:rsidRPr="001E3D98">
        <w:fldChar w:fldCharType="end"/>
      </w:r>
    </w:p>
  </w:footnote>
  <w:footnote w:id="37">
    <w:p w14:paraId="2ACA73F8"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URL":"https://aptika.kominfo.go.id/2020/06/tantangan-pelindungan-data-pribadi-di-sektor-kesehatan","accessed":{"date-parts":[["2022","9","27"]]},"author":[{"dropping-particle":"","family":"Rizkinaswara","given":"Leski","non-dropping-particle":"","parse-names":false,"suffix":""}],"container-title":"Kominfo","id":"ITEM-1","issued":{"date-parts":[["0"]]},"title":"Tantangan Pelindungan Data Pribadi di Sektor Kesehatan","type":"webpage"},"uris":["http://www.mendeley.com/documents/?uuid=103d6cd9-edc4-40e6-b7a6-a5fbadc4ca51"]}],"mendeley":{"formattedCitation":"Leski Rizkinaswara, “Tantangan Pelindungan Data Pribadi Di Sektor Kesehatan,” &lt;i&gt;Kominfo&lt;/i&gt;, accessed September 27, 2022, https://aptika.kominfo.go.id/2020/06/tantangan-pelindungan-data-pribadi-di-sektor-kesehatan.","plainTextFormattedCitation":"Leski Rizkinaswara, “Tantangan Pelindungan Data Pribadi Di Sektor Kesehatan,” Kominfo, accessed September 27, 2022, https://aptika.kominfo.go.id/2020/06/tantangan-pelindungan-data-pribadi-di-sektor-kesehatan.","previouslyFormattedCitation":"Leski Rizkinaswara, “Tantangan Pelindungan Data Pribadi Di Sektor Kesehatan,” &lt;i&gt;Kominfo&lt;/i&gt;, accessed September 27, 2022, https://aptika.kominfo.go.id/2020/06/tantangan-pelindungan-data-pribadi-di-sektor-kesehatan."},"properties":{"noteIndex":37},"schema":"https://github.com/citation-style-language/schema/raw/master/csl-citation.json"}</w:instrText>
      </w:r>
      <w:r w:rsidRPr="001E3D98">
        <w:fldChar w:fldCharType="separate"/>
      </w:r>
      <w:r w:rsidRPr="001E3D98">
        <w:rPr>
          <w:noProof/>
        </w:rPr>
        <w:t xml:space="preserve">Leski Rizkinaswara, “Tantangan Pelindungan Data Pribadi Di Sektor Kesehatan,” </w:t>
      </w:r>
      <w:r w:rsidRPr="001E3D98">
        <w:rPr>
          <w:i/>
          <w:noProof/>
        </w:rPr>
        <w:t>Kominfo</w:t>
      </w:r>
      <w:r w:rsidRPr="001E3D98">
        <w:rPr>
          <w:noProof/>
        </w:rPr>
        <w:t>, accessed September 27, 2022, https://aptika.kominfo.go.id/2020/06/tantangan-pelindungan-data-pribadi-di-sektor-kesehatan.</w:t>
      </w:r>
      <w:r w:rsidRPr="001E3D98">
        <w:fldChar w:fldCharType="end"/>
      </w:r>
    </w:p>
  </w:footnote>
  <w:footnote w:id="38">
    <w:p w14:paraId="33CFB953"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URL":"https://aptika.kominfo.go.id/2020/06/tantangan-pelindungan-data-pribadi-di-sektor-kesehatan","accessed":{"date-parts":[["2022","9","27"]]},"author":[{"dropping-particle":"","family":"Rizkinaswara","given":"Leski","non-dropping-particle":"","parse-names":false,"suffix":""}],"container-title":"Kominfo","id":"ITEM-1","issued":{"date-parts":[["0"]]},"title":"Tantangan Pelindungan Data Pribadi di Sektor Kesehatan","type":"webpage"},"uris":["http://www.mendeley.com/documents/?uuid=103d6cd9-edc4-40e6-b7a6-a5fbadc4ca51"]}],"mendeley":{"formattedCitation":"Ibid.","plainTextFormattedCitation":"Ibid.","previouslyFormattedCitation":"Ibid."},"properties":{"noteIndex":38},"schema":"https://github.com/citation-style-language/schema/raw/master/csl-citation.json"}</w:instrText>
      </w:r>
      <w:r w:rsidRPr="001E3D98">
        <w:fldChar w:fldCharType="separate"/>
      </w:r>
      <w:r w:rsidRPr="001E3D98">
        <w:rPr>
          <w:noProof/>
        </w:rPr>
        <w:t>Ibid.</w:t>
      </w:r>
      <w:r w:rsidRPr="001E3D98">
        <w:fldChar w:fldCharType="end"/>
      </w:r>
    </w:p>
  </w:footnote>
  <w:footnote w:id="39">
    <w:p w14:paraId="430582E3"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{"citationItems":[{"id":"ITEM-1","itemData":{"author":[{"dropping-particle":"","family":"Sudibyo","given":"Agus","non-dropping-particle":"","parse-names":false,"suffix":""}],"id":"ITEM-1","issued":{"date-parts":[["2019"]]},"number-of-pages":"174","publisher":"Kepustakaan Populer Gramedia","publisher-place":"Jakarta","title":"Jagad Digital","type":"book"},"uris":["http://www.mendeley.com/documents/?uuid=c435e3b7-d02e-4970-bb8c-a6fc4220d5bc"]}],"mendeley":{"formattedCitation":"Sudibyo, &lt;i&gt;Jagad Digital&lt;/i&gt;.","plainTextFormattedCitation":"Sudibyo, Jagad Digital.","previouslyFormattedCitation":"Sudibyo, &lt;i&gt;Jagad Digital&lt;/i&gt;."},"properties":{"noteIndex":39},"schema":"https://github.com/citation-style-language/schema/raw/master/csl-citation.json"}</w:instrText>
      </w:r>
      <w:r w:rsidRPr="001E3D98">
        <w:fldChar w:fldCharType="separate"/>
      </w:r>
      <w:r w:rsidRPr="001E3D98">
        <w:rPr>
          <w:noProof/>
        </w:rPr>
        <w:t xml:space="preserve">Sudibyo, </w:t>
      </w:r>
      <w:r w:rsidRPr="001E3D98">
        <w:rPr>
          <w:i/>
          <w:noProof/>
        </w:rPr>
        <w:t>Jagad Digital</w:t>
      </w:r>
      <w:r w:rsidRPr="001E3D98">
        <w:rPr>
          <w:noProof/>
        </w:rPr>
        <w:t>.</w:t>
      </w:r>
      <w:r w:rsidRPr="001E3D98">
        <w:fldChar w:fldCharType="end"/>
      </w:r>
    </w:p>
  </w:footnote>
  <w:footnote w:id="40">
    <w:p w14:paraId="457B2138"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URL":"https://www.indonesia-investments.com/id/news/todays-headlines/online-scams-in-indonesia-26-of-consumers-become-victim-of-fraud/item6871","accessed":{"date-parts":[["2022","9","27"]]},"author":[{"dropping-particle":"","family":"Hogan","given":"Ross","non-dropping-particle":"","parse-names":false,"suffix":""}],"id":"ITEM-1","issued":{"date-parts":[["2016"]]},"title":"Online Scams in Indonesia: 26% of Consumers Become Victim of Fraud","type":"webpage"},"uris":["http://www.mendeley.com/documents/?uuid=5def8992-492f-4892-97af-c469a6e29dbb"]}],"mendeley":{"formattedCitation":"Ross Hogan, “Online Scams in Indonesia: 26% of Consumers Become Victim of Fraud,” last modified 2016, accessed September 27, 2022, https://www.indonesia-investments.com/id/news/todays-headlines/online-scams-in-indonesia-26-of-consumers-become-victim-of-fraud/item6871.","plainTextFormattedCitation":"Ross Hogan, “Online Scams in Indonesia: 26% of Consumers Become Victim of Fraud,” last modified 2016, accessed September 27, 2022, https://www.indonesia-investments.com/id/news/todays-headlines/online-scams-in-indonesia-26-of-consumers-become-victim-of-fraud/item6871.","previouslyFormattedCitation":"Ross Hogan, “Online Scams in Indonesia: 26% of Consumers Become Victim of Fraud,” last modified 2016, accessed September 27, 2022, https://www.indonesia-investments.com/id/news/todays-headlines/online-scams-in-indonesia-26-of-consumers-become-victim-of-fraud/item6871."},"properties":{"noteIndex":40},"schema":"https://github.com/citation-style-language/schema/raw/master/csl-citation.json"}</w:instrText>
      </w:r>
      <w:r w:rsidRPr="001E3D98">
        <w:fldChar w:fldCharType="separate"/>
      </w:r>
      <w:r w:rsidRPr="001E3D98">
        <w:rPr>
          <w:noProof/>
        </w:rPr>
        <w:t>Ross Hogan, “Online Scams in Indonesia: 26% of Consumers Become Victim of Fraud,” last modified 2016, accessed September 27, 2022, https://www.indonesia-investments.com/id/news/todays-headlines/online-scams-in-indonesia-26-of-consumers-become-victim-of-fraud/item6871.</w:t>
      </w:r>
      <w:r w:rsidRPr="001E3D98">
        <w:fldChar w:fldCharType="end"/>
      </w:r>
    </w:p>
  </w:footnote>
  <w:footnote w:id="41">
    <w:p w14:paraId="1FB64A9F"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URL":"https://www.indonesia-investments.com/id/news/todays-headlines/online-scams-in-indonesia-26-of-consumers-become-victim-of-fraud/item6871","accessed":{"date-parts":[["2022","9","27"]]},"author":[{"dropping-particle":"","family":"Hogan","given":"Ross","non-dropping-particle":"","parse-names":false,"suffix":""}],"id":"ITEM-1","issued":{"date-parts":[["2016"]]},"title":"Online Scams in Indonesia: 26% of Consumers Become Victim of Fraud","type":"webpage"},"uris":["http://www.mendeley.com/documents/?uuid=5def8992-492f-4892-97af-c469a6e29dbb"]}],"mendeley":{"formattedCitation":"Ibid.","plainTextFormattedCitation":"Ibid.","previouslyFormattedCitation":"Ibid."},"properties":{"noteIndex":41},"schema":"https://github.com/citation-style-language/schema/raw/master/csl-citation.json"}</w:instrText>
      </w:r>
      <w:r w:rsidRPr="001E3D98">
        <w:fldChar w:fldCharType="separate"/>
      </w:r>
      <w:r w:rsidRPr="001E3D98">
        <w:rPr>
          <w:noProof/>
        </w:rPr>
        <w:t>Ibid.</w:t>
      </w:r>
      <w:r w:rsidRPr="001E3D98">
        <w:fldChar w:fldCharType="end"/>
      </w:r>
    </w:p>
  </w:footnote>
  <w:footnote w:id="42">
    <w:p w14:paraId="2F59711B" w14:textId="77777777" w:rsidR="00EC504C" w:rsidRPr="001E3D98" w:rsidRDefault="00EC504C" w:rsidP="00EC504C">
      <w:pPr>
        <w:pStyle w:val="FootnoteText"/>
        <w:ind w:firstLine="567"/>
      </w:pPr>
      <w:r w:rsidRPr="009B498D">
        <w:rPr>
          <w:rStyle w:val="FootnoteReference"/>
          <w:rFonts w:eastAsiaTheme="minorEastAsia"/>
        </w:rPr>
        <w:footnoteRef/>
      </w:r>
      <w:r w:rsidRPr="001E3D98">
        <w:t xml:space="preserve"> </w:t>
      </w:r>
      <w:r w:rsidRPr="001E3D98">
        <w:fldChar w:fldCharType="begin" w:fldLock="1"/>
      </w:r>
      <w:r>
        <w:instrText>ADDIN CSL_CITATION {"citationItems":[{"id":"ITEM-1","itemData":{"DOI":"https://doi.org/10.1016/j.is.2019.101469","author":[{"dropping-particle":"","family":"Tamburri","given":"Damian A.","non-dropping-particle":"","parse-names":false,"suffix":""}],"container-title":"Information Systems","id":"ITEM-1","issue":"101469","issued":{"date-parts":[["0"]]},"title":"Design principles for the General Data Protection Regulation (GDPR): A formal concept analysis and its evaluation","type":"article-journal","volume":"91"},"uris":["http://www.mendeley.com/documents/?uuid=7a0438f4-be88-4cee-a823-b8a45d666325"]}],"mendeley":{"formattedCitation":"Damian A. Tamburri, “Design Principles for the General Data Protection Regulation (GDPR): A Formal Concept Analysis and Its Evaluation,” &lt;i&gt;Information Systems&lt;/i&gt; 91, no. 101469 (n.d.), https://www.sciencedirect.com/science/article/pii/S0306437919305216?via%3Dihub#!","plainTextFormattedCitation":"Damian A. Tamburri, “Design Principles for the General Data Protection Regulation (GDPR): A Formal Concept Analysis and Its Evaluation,” Information Systems 91, no. 101469 (n.d.), https://www.sciencedirect.com/science/article/pii/S0306437919305216?via%3Dihub#!","previouslyFormattedCitation":"Damian A. Tamburri, “Design Principles for the General Data Protection Regulation (GDPR): A Formal Concept Analysis and Its Evaluation,” &lt;i&gt;Information Systems&lt;/i&gt; 91, no. 101469 (n.d.), https://www.sciencedirect.com/science/article/pii/S0306437919305216?via%3Dihub#!"},"properties":{"noteIndex":42},"schema":"https://github.com/citation-style-language/schema/raw/master/csl-citation.json"}</w:instrText>
      </w:r>
      <w:r w:rsidRPr="001E3D98">
        <w:fldChar w:fldCharType="separate"/>
      </w:r>
      <w:r w:rsidRPr="001E3D98">
        <w:rPr>
          <w:noProof/>
        </w:rPr>
        <w:t xml:space="preserve">Damian A. Tamburri, “Design Principles for the General Data Protection Regulation (GDPR): A Formal Concept Analysis and Its Evaluation,” </w:t>
      </w:r>
      <w:r w:rsidRPr="001E3D98">
        <w:rPr>
          <w:i/>
          <w:noProof/>
        </w:rPr>
        <w:t>Information Systems</w:t>
      </w:r>
      <w:r w:rsidRPr="001E3D98">
        <w:rPr>
          <w:noProof/>
        </w:rPr>
        <w:t xml:space="preserve"> 91, no. 101469 (n.d.), https://www.sciencedirect.com/science/article/pii/S0306437919305216?via%3Dihub#!</w:t>
      </w:r>
      <w:r w:rsidRPr="001E3D98">
        <w:fldChar w:fldCharType="end"/>
      </w:r>
    </w:p>
  </w:footnote>
  <w:footnote w:id="43">
    <w:p w14:paraId="1554ED41" w14:textId="77777777" w:rsidR="00EC504C" w:rsidRPr="005840C0" w:rsidRDefault="00EC504C" w:rsidP="00EC504C">
      <w:pPr>
        <w:pStyle w:val="FootnoteText"/>
        <w:ind w:firstLine="567"/>
      </w:pPr>
      <w:r w:rsidRPr="009B498D">
        <w:rPr>
          <w:rStyle w:val="FootnoteReference"/>
          <w:rFonts w:eastAsiaTheme="minorEastAsia"/>
        </w:rPr>
        <w:footnoteRef/>
      </w:r>
      <w:r>
        <w:t xml:space="preserve"> </w:t>
      </w:r>
      <w:r w:rsidRPr="005840C0">
        <w:fldChar w:fldCharType="begin" w:fldLock="1"/>
      </w:r>
      <w:r>
        <w:instrText>ADDIN CSL_CITATION {"citationItems":[{"id":"ITEM-1","itemData":{"URL":"https://www.internetsociety.org/events/gdpr-webinar/","author":[{"dropping-particle":"","family":"Internet Society","given":"","non-dropping-particle":"","parse-names":false,"suffix":""}],"container-title":"Internet Society","id":"ITEM-1","issued":{"date-parts":[["2018"]]},"title":"Internet Society Webinar: GDPR: Novelties, Challenges and Opportunities","type":"webpage"},"uris":["http://www.mendeley.com/documents/?uuid=97611459-4cc2-40c8-9e40-1170ad2fd6e9"]}],"mendeley":{"formattedCitation":"Internet Society, “Internet Society Webinar: GDPR: Novelties, Challenges and Opportunities,” &lt;i&gt;Internet Society&lt;/i&gt;, last modified 2018, https://www.internetsociety.org/events/gdpr-webinar/.","plainTextFormattedCitation":"Internet Society, “Internet Society Webinar: GDPR: Novelties, Challenges and Opportunities,” Internet Society, last modified 2018, https://www.internetsociety.org/events/gdpr-webinar/.","previouslyFormattedCitation":"Internet Society, “Internet Society Webinar: GDPR: Novelties, Challenges and Opportunities,” &lt;i&gt;Internet Society&lt;/i&gt;, last modified 2018, https://www.internetsociety.org/events/gdpr-webinar/."},"properties":{"noteIndex":43},"schema":"https://github.com/citation-style-language/schema/raw/master/csl-citation.json"}</w:instrText>
      </w:r>
      <w:r w:rsidRPr="005840C0">
        <w:fldChar w:fldCharType="separate"/>
      </w:r>
      <w:r w:rsidRPr="005840C0">
        <w:rPr>
          <w:noProof/>
        </w:rPr>
        <w:t xml:space="preserve">Internet Society, “Internet Society Webinar: GDPR: Novelties, Challenges and Opportunities,” </w:t>
      </w:r>
      <w:r w:rsidRPr="005840C0">
        <w:rPr>
          <w:i/>
          <w:noProof/>
        </w:rPr>
        <w:t>Internet Society</w:t>
      </w:r>
      <w:r w:rsidRPr="005840C0">
        <w:rPr>
          <w:noProof/>
        </w:rPr>
        <w:t>, last modified 2018, https://www.internetsociety.org/events/gdpr-webinar/.</w:t>
      </w:r>
      <w:r w:rsidRPr="005840C0">
        <w:fldChar w:fldCharType="end"/>
      </w:r>
    </w:p>
  </w:footnote>
  <w:footnote w:id="44">
    <w:p w14:paraId="761EA549" w14:textId="77777777" w:rsidR="00EC504C" w:rsidRPr="005840C0" w:rsidRDefault="00EC504C" w:rsidP="00EC504C">
      <w:pPr>
        <w:pStyle w:val="FootnoteText"/>
        <w:ind w:firstLine="567"/>
      </w:pPr>
      <w:r w:rsidRPr="009B498D">
        <w:rPr>
          <w:rStyle w:val="FootnoteReference"/>
          <w:rFonts w:eastAsiaTheme="minorEastAsia"/>
        </w:rPr>
        <w:footnoteRef/>
      </w:r>
      <w:r>
        <w:t xml:space="preserve"> </w:t>
      </w:r>
      <w:r w:rsidRPr="005840C0">
        <w:fldChar w:fldCharType="begin" w:fldLock="1"/>
      </w:r>
      <w:r>
        <w:instrText>ADDIN CSL_CITATION {"citationItems":[{"id":"ITEM-1","itemData":{"URL":"https://gdpr.eu/what-is-gdpr/","accessed":{"date-parts":[["2022","9","27"]]},"author":[{"dropping-particle":"","family":"Wolford","given":"Ben","non-dropping-particle":"","parse-names":false,"suffix":""}],"id":"ITEM-1","issued":{"date-parts":[["2022"]]},"title":"What is GDPR, the EU’s new data protection law?","type":"webpage"},"uris":["http://www.mendeley.com/documents/?uuid=472600b1-67f0-4d10-81c5-7edaf0c04de0"]}],"mendeley":{"formattedCitation":"Ben Wolford, “What Is GDPR, the EU’s New Data Protection Law?,” last modified 2022, accessed September 27, 2022, https://gdpr.eu/what-is-gdpr/.","plainTextFormattedCitation":"Ben Wolford, “What Is GDPR, the EU’s New Data Protection Law?,” last modified 2022, accessed September 27, 2022, https://gdpr.eu/what-is-gdpr/.","previouslyFormattedCitation":"Ben Wolford, “What Is GDPR, the EU’s New Data Protection Law?,” last modified 2022, accessed September 27, 2022, https://gdpr.eu/what-is-gdpr/."},"properties":{"noteIndex":44},"schema":"https://github.com/citation-style-language/schema/raw/master/csl-citation.json"}</w:instrText>
      </w:r>
      <w:r w:rsidRPr="005840C0">
        <w:fldChar w:fldCharType="separate"/>
      </w:r>
      <w:r w:rsidRPr="005840C0">
        <w:rPr>
          <w:noProof/>
        </w:rPr>
        <w:t>Ben Wolford, “What Is GDPR, the EU’s New Data Protection Law?,” last modified 2022, accessed September 27, 2022, https://gdpr.eu/what-is-gdpr/.</w:t>
      </w:r>
      <w:r w:rsidRPr="005840C0">
        <w:fldChar w:fldCharType="end"/>
      </w:r>
    </w:p>
  </w:footnote>
  <w:footnote w:id="45">
    <w:p w14:paraId="10B7D716" w14:textId="77777777" w:rsidR="00EC504C" w:rsidRPr="005840C0" w:rsidRDefault="00EC504C" w:rsidP="00EC504C">
      <w:pPr>
        <w:pStyle w:val="FootnoteText"/>
        <w:ind w:firstLine="567"/>
      </w:pPr>
      <w:r w:rsidRPr="009B498D">
        <w:rPr>
          <w:rStyle w:val="FootnoteReference"/>
          <w:rFonts w:eastAsiaTheme="minorEastAsia"/>
        </w:rPr>
        <w:footnoteRef/>
      </w:r>
      <w:r>
        <w:t xml:space="preserve"> </w:t>
      </w:r>
      <w:r>
        <w:fldChar w:fldCharType="begin" w:fldLock="1"/>
      </w:r>
      <w:r>
        <w:instrText>ADDIN CSL_CITATION {"citationItems":[{"id":"ITEM-1","itemData":{"URL":"https://gdpr.eu/what-is-gdpr/","accessed":{"date-parts":[["2022","9","27"]]},"author":[{"dropping-particle":"","family":"Wolford","given":"Ben","non-dropping-particle":"","parse-names":false,"suffix":""}],"id":"ITEM-1","issued":{"date-parts":[["2022"]]},"title":"What is GDPR, the EU’s new data protection law?","type":"webpage"},"uris":["http://www.mendeley.com/documents/?uuid=472600b1-67f0-4d10-81c5-7edaf0c04de0"]}],"mendeley":{"formattedCitation":"Ibid.","plainTextFormattedCitation":"Ibid.","previouslyFormattedCitation":"Ibid."},"properties":{"noteIndex":45},"schema":"https://github.com/citation-style-language/schema/raw/master/csl-citation.json"}</w:instrText>
      </w:r>
      <w:r>
        <w:fldChar w:fldCharType="separate"/>
      </w:r>
      <w:r w:rsidRPr="005840C0">
        <w:rPr>
          <w:noProof/>
        </w:rPr>
        <w:t>Ibid.</w:t>
      </w:r>
      <w:r>
        <w:fldChar w:fldCharType="end"/>
      </w:r>
    </w:p>
  </w:footnote>
  <w:footnote w:id="46">
    <w:p w14:paraId="77C31A51" w14:textId="77777777" w:rsidR="00EC504C" w:rsidRPr="005840C0" w:rsidRDefault="00EC504C" w:rsidP="00EC504C">
      <w:pPr>
        <w:pStyle w:val="FootnoteText"/>
        <w:ind w:firstLine="567"/>
      </w:pPr>
      <w:r w:rsidRPr="009B498D">
        <w:rPr>
          <w:rStyle w:val="FootnoteReference"/>
          <w:rFonts w:eastAsiaTheme="minorEastAsia"/>
        </w:rPr>
        <w:footnoteRef/>
      </w:r>
      <w:r>
        <w:t xml:space="preserve"> </w:t>
      </w:r>
      <w:r w:rsidRPr="005840C0">
        <w:fldChar w:fldCharType="begin" w:fldLock="1"/>
      </w:r>
      <w:r>
        <w:instrText>ADDIN CSL_CITATION {"citationItems":[{"id":"ITEM-1","itemData":{"author":[{"dropping-particle":"","family":"Lowe","given":"Robert","non-dropping-particle":"","parse-names":false,"suffix":""},{"dropping-particle":"","family":"Woodroffe","given":"Geoffrey","non-dropping-particle":"","parse-names":false,"suffix":""}],"edition":"Sixth Edit","id":"ITEM-1","issued":{"date-parts":[["2004"]]},"number-of-pages":"3","publisher":"Thomson, Sweet &amp; Maxwell","publisher-place":"London, UK","title":"Consumer Law and Practice","type":"book"},"uris":["http://www.mendeley.com/documents/?uuid=180350aa-0412-4ccd-94ae-3c4aec500401"]}],"mendeley":{"formattedCitation":"Robert Lowe and Geoffrey Woodroffe, &lt;i&gt;Consumer Law and Practice&lt;/i&gt;, Sixth Edit. (London, UK: Thomson, Sweet &amp; Maxwell, 2004).","plainTextFormattedCitation":"Robert Lowe and Geoffrey Woodroffe, Consumer Law and Practice, Sixth Edit. (London, UK: Thomson, Sweet &amp; Maxwell, 2004).","previouslyFormattedCitation":"Robert Lowe and Geoffrey Woodroffe, &lt;i&gt;Consumer Law and Practice&lt;/i&gt;, Sixth Edit. (London, UK: Thomson, Sweet &amp; Maxwell, 2004)."},"properties":{"noteIndex":46},"schema":"https://github.com/citation-style-language/schema/raw/master/csl-citation.json"}</w:instrText>
      </w:r>
      <w:r w:rsidRPr="005840C0">
        <w:fldChar w:fldCharType="separate"/>
      </w:r>
      <w:r w:rsidRPr="005840C0">
        <w:rPr>
          <w:noProof/>
        </w:rPr>
        <w:t xml:space="preserve">Robert Lowe and Geoffrey Woodroffe, </w:t>
      </w:r>
      <w:r w:rsidRPr="005840C0">
        <w:rPr>
          <w:i/>
          <w:noProof/>
        </w:rPr>
        <w:t>Consumer Law and Practice</w:t>
      </w:r>
      <w:r w:rsidRPr="005840C0">
        <w:rPr>
          <w:noProof/>
        </w:rPr>
        <w:t>, Sixth Edit. (London, UK: Thomson, Sweet &amp; Maxwell, 2004).</w:t>
      </w:r>
      <w:r w:rsidRPr="005840C0">
        <w:fldChar w:fldCharType="end"/>
      </w:r>
    </w:p>
  </w:footnote>
  <w:footnote w:id="47">
    <w:p w14:paraId="12D57F87" w14:textId="77777777" w:rsidR="00EC504C" w:rsidRPr="00E35CBB" w:rsidRDefault="00EC504C" w:rsidP="00EC504C">
      <w:pPr>
        <w:pStyle w:val="FootnoteText"/>
        <w:ind w:firstLine="567"/>
        <w:rPr>
          <w:color w:val="000000" w:themeColor="text1"/>
        </w:rPr>
      </w:pPr>
      <w:r w:rsidRPr="009B498D">
        <w:rPr>
          <w:rStyle w:val="FootnoteReference"/>
          <w:rFonts w:eastAsiaTheme="minorEastAsia"/>
        </w:rPr>
        <w:footnoteRef/>
      </w:r>
      <w:r>
        <w:t xml:space="preserve"> </w:t>
      </w:r>
      <w:r w:rsidRPr="00E35CBB">
        <w:rPr>
          <w:color w:val="000000" w:themeColor="text1"/>
        </w:rPr>
        <w:fldChar w:fldCharType="begin" w:fldLock="1"/>
      </w:r>
      <w:r>
        <w:rPr>
          <w:color w:val="000000" w:themeColor="text1"/>
        </w:rPr>
        <w:instrText>ADDIN CSL_CITATION {"citationItems":[{"id":"ITEM-1","itemData":{"URL":"https://learn.microsoft.com/en-us/microsoft-365/admin/security-and-compliance/gdpr-compliance?view=o365-worldwide","accessed":{"date-parts":[["2022","9","28"]]},"author":[{"dropping-particle":"","family":"Microsoft","given":"","non-dropping-particle":"","parse-names":false,"suffix":""}],"container-title":"14 September 2022","id":"ITEM-1","issued":{"date-parts":[["2022"]]},"title":"GDPR simplified: A guide for your small business","type":"webpage"},"uris":["http://www.mendeley.com/documents/?uuid=f08f0b39-d21c-4502-aea6-2a54368e7ce6"]}],"mendeley":{"formattedCitation":"Microsoft, “GDPR Simplified: A Guide for Your Small Business,” &lt;i&gt;14 September 2022&lt;/i&gt;, last modified 2022, accessed September 28, 2022, https://learn.microsoft.com/en-us/microsoft-365/admin/security-and-compliance/gdpr-compliance?view=o365-worldwide.","plainTextFormattedCitation":"Microsoft, “GDPR Simplified: A Guide for Your Small Business,” 14 September 2022, last modified 2022, accessed September 28, 2022, https://learn.microsoft.com/en-us/microsoft-365/admin/security-and-compliance/gdpr-compliance?view=o365-worldwide.","previouslyFormattedCitation":"Microsoft, “GDPR Simplified: A Guide for Your Small Business,” &lt;i&gt;14 September 2022&lt;/i&gt;, last modified 2022, accessed September 28, 2022, https://learn.microsoft.com/en-us/microsoft-365/admin/security-and-compliance/gdpr-compliance?view=o365-worldwide."},"properties":{"noteIndex":47},"schema":"https://github.com/citation-style-language/schema/raw/master/csl-citation.json"}</w:instrText>
      </w:r>
      <w:r w:rsidRPr="00E35CBB">
        <w:rPr>
          <w:color w:val="000000" w:themeColor="text1"/>
        </w:rPr>
        <w:fldChar w:fldCharType="separate"/>
      </w:r>
      <w:r w:rsidRPr="00E35CBB">
        <w:rPr>
          <w:noProof/>
          <w:color w:val="000000" w:themeColor="text1"/>
        </w:rPr>
        <w:t xml:space="preserve">Microsoft, “GDPR Simplified: A Guide for Your Small Business,” </w:t>
      </w:r>
      <w:r w:rsidRPr="00E35CBB">
        <w:rPr>
          <w:i/>
          <w:noProof/>
          <w:color w:val="000000" w:themeColor="text1"/>
        </w:rPr>
        <w:t>14 September 2022</w:t>
      </w:r>
      <w:r w:rsidRPr="00E35CBB">
        <w:rPr>
          <w:noProof/>
          <w:color w:val="000000" w:themeColor="text1"/>
        </w:rPr>
        <w:t>, last modified 2022, accessed September 28, 2022, https://learn.microsoft.com/en-us/microsoft-365/admin/security-and-compliance/gdpr-compliance?view=o365-worldwide.</w:t>
      </w:r>
      <w:r w:rsidRPr="00E35CBB">
        <w:rPr>
          <w:color w:val="000000" w:themeColor="text1"/>
        </w:rPr>
        <w:fldChar w:fldCharType="end"/>
      </w:r>
    </w:p>
  </w:footnote>
  <w:footnote w:id="48">
    <w:p w14:paraId="238A1950" w14:textId="77777777" w:rsidR="00EC504C" w:rsidRPr="00E35CBB" w:rsidRDefault="00EC504C" w:rsidP="00EC504C">
      <w:pPr>
        <w:pStyle w:val="FootnoteText"/>
        <w:ind w:firstLine="567"/>
      </w:pPr>
      <w:r w:rsidRPr="009B498D">
        <w:rPr>
          <w:rStyle w:val="FootnoteReference"/>
          <w:rFonts w:eastAsiaTheme="minorEastAsia"/>
        </w:rPr>
        <w:footnoteRef/>
      </w:r>
      <w:r w:rsidRPr="00E35CBB">
        <w:t xml:space="preserve"> </w:t>
      </w:r>
      <w:r w:rsidRPr="00982DA6">
        <w:rPr>
          <w:color w:val="000000" w:themeColor="text1"/>
        </w:rPr>
        <w:fldChar w:fldCharType="begin" w:fldLock="1"/>
      </w:r>
      <w:r>
        <w:rPr>
          <w:color w:val="000000" w:themeColor="text1"/>
        </w:rPr>
        <w:instrText>ADDIN CSL_CITATION {"citationItems":[{"id":"ITEM-1","itemData":{"URL":"https://www.itgovernance.eu/blog/en/the-gdpr-understanding-the-6-data-protection-principles","accessed":{"date-parts":[["2022","9","28"]]},"author":[{"dropping-particle":"","family":"Irwin","given":"Luke","non-dropping-particle":"","parse-names":false,"suffix":""}],"container-title":"9 December 2021","id":"ITEM-1","issued":{"date-parts":[["2021"]]},"title":"The GDPR: Understanding the 6 data protection principles","type":"webpage"},"uris":["http://www.mendeley.com/documents/?uuid=7faf0b10-f895-4376-bbfd-a9265b2e6122"]}],"mendeley":{"formattedCitation":"Luke Irwin, “The GDPR: Understanding the 6 Data Protection Principles,” &lt;i&gt;9 December 2021&lt;/i&gt;, last modified 2021, accessed September 28, 2022, https://www.itgovernance.eu/blog/en/the-gdpr-understanding-the-6-data-protection-principles.","plainTextFormattedCitation":"Luke Irwin, “The GDPR: Understanding the 6 Data Protection Principles,” 9 December 2021, last modified 2021, accessed September 28, 2022, https://www.itgovernance.eu/blog/en/the-gdpr-understanding-the-6-data-protection-principles.","previouslyFormattedCitation":"Luke Irwin, “The GDPR: Understanding the 6 Data Protection Principles,” &lt;i&gt;9 December 2021&lt;/i&gt;, last modified 2021, accessed September 28, 2022, https://www.itgovernance.eu/blog/en/the-gdpr-understanding-the-6-data-protection-principles."},"properties":{"noteIndex":48},"schema":"https://github.com/citation-style-language/schema/raw/master/csl-citation.json"}</w:instrText>
      </w:r>
      <w:r w:rsidRPr="00982DA6">
        <w:rPr>
          <w:color w:val="000000" w:themeColor="text1"/>
        </w:rPr>
        <w:fldChar w:fldCharType="separate"/>
      </w:r>
      <w:r w:rsidRPr="00982DA6">
        <w:rPr>
          <w:noProof/>
          <w:color w:val="000000" w:themeColor="text1"/>
        </w:rPr>
        <w:t xml:space="preserve">Luke Irwin, “The GDPR: Understanding the 6 Data Protection Principles,” </w:t>
      </w:r>
      <w:r w:rsidRPr="00982DA6">
        <w:rPr>
          <w:i/>
          <w:noProof/>
          <w:color w:val="000000" w:themeColor="text1"/>
        </w:rPr>
        <w:t>9 December 2021</w:t>
      </w:r>
      <w:r w:rsidRPr="00982DA6">
        <w:rPr>
          <w:noProof/>
          <w:color w:val="000000" w:themeColor="text1"/>
        </w:rPr>
        <w:t>, last modified 2021, accessed September 28, 2022, https://www.itgovernance.eu/blog/en/the-gdpr-understanding-the-6-data-protection-principles.</w:t>
      </w:r>
      <w:r w:rsidRPr="00982DA6">
        <w:rPr>
          <w:color w:val="000000" w:themeColor="text1"/>
        </w:rPr>
        <w:fldChar w:fldCharType="end"/>
      </w:r>
    </w:p>
  </w:footnote>
  <w:footnote w:id="49">
    <w:p w14:paraId="03F9DF8B" w14:textId="77777777" w:rsidR="00EC504C" w:rsidRPr="009E0E17" w:rsidRDefault="00EC504C" w:rsidP="00EC504C">
      <w:pPr>
        <w:pStyle w:val="FootnoteText"/>
        <w:ind w:firstLine="567"/>
      </w:pPr>
      <w:r w:rsidRPr="009B498D">
        <w:rPr>
          <w:rStyle w:val="FootnoteReference"/>
          <w:rFonts w:eastAsiaTheme="minorEastAsia"/>
        </w:rPr>
        <w:footnoteRef/>
      </w:r>
      <w:r>
        <w:t xml:space="preserve"> </w:t>
      </w:r>
      <w:r w:rsidRPr="009E0E17">
        <w:fldChar w:fldCharType="begin" w:fldLock="1"/>
      </w:r>
      <w:r>
        <w:instrText>ADDIN CSL_CITATION {"citationItems":[{"id":"ITEM-1","itemData":{"id":"ITEM-1","issued":{"date-parts":[["0"]]},"title":"Law Number 8 of 1999 concerning Consumer Protection","type":"legislation"},"uris":["http://www.mendeley.com/documents/?uuid=11d1327e-4047-48cb-b28a-569dd9d0779f","http://www.mendeley.com/documents/?uuid=bf647d49-fa7c-402d-a8da-225e055c6225"]}],"mendeley":{"formattedCitation":"&lt;i&gt;Law Number 8 of 1999 Concerning Consumer Protection&lt;/i&gt;, n.d.","plainTextFormattedCitation":"Law Number 8 of 1999 Concerning Consumer Protection, n.d.","previouslyFormattedCitation":"&lt;i&gt;Law Number 8 of 1999 Concerning Consumer Protection&lt;/i&gt;, n.d."},"properties":{"noteIndex":49},"schema":"https://github.com/citation-style-language/schema/raw/master/csl-citation.json"}</w:instrText>
      </w:r>
      <w:r w:rsidRPr="009E0E17">
        <w:fldChar w:fldCharType="separate"/>
      </w:r>
      <w:r w:rsidRPr="009E0E17">
        <w:rPr>
          <w:i/>
          <w:noProof/>
        </w:rPr>
        <w:t>Law Number 8 of 1999 Concerning Consumer Protection</w:t>
      </w:r>
      <w:r w:rsidRPr="009E0E17">
        <w:rPr>
          <w:noProof/>
        </w:rPr>
        <w:t>, n.d.</w:t>
      </w:r>
      <w:r w:rsidRPr="009E0E17">
        <w:fldChar w:fldCharType="end"/>
      </w:r>
    </w:p>
  </w:footnote>
  <w:footnote w:id="50">
    <w:p w14:paraId="240183EE" w14:textId="77777777" w:rsidR="00EC504C" w:rsidRPr="007B50BD" w:rsidRDefault="00EC504C" w:rsidP="00EC504C">
      <w:pPr>
        <w:pStyle w:val="FootnoteText"/>
        <w:ind w:firstLine="567"/>
      </w:pPr>
      <w:r w:rsidRPr="009B498D">
        <w:rPr>
          <w:rStyle w:val="FootnoteReference"/>
          <w:rFonts w:eastAsiaTheme="minorEastAsia"/>
        </w:rPr>
        <w:footnoteRef/>
      </w:r>
      <w:r>
        <w:t xml:space="preserve"> </w:t>
      </w:r>
      <w:r w:rsidRPr="007B50BD">
        <w:fldChar w:fldCharType="begin" w:fldLock="1"/>
      </w:r>
      <w:r>
        <w:instrText>ADDIN CSL_CITATION {"citationItems":[{"id":"ITEM-1","itemData":{"id":"ITEM-1","issued":{"date-parts":[["0"]]},"title":"The Minister of Communication and Informatics No. 20 of 2016 on Protection of Personal Data in Electronic Systems","type":"legislation"},"uris":["http://www.mendeley.com/documents/?uuid=2e96f18f-a398-4784-b434-43231d53db35"]}],"mendeley":{"formattedCitation":"&lt;i&gt;The Minister of Communication and Informatics No. 20 of 2016 on Protection of Personal Data in Electronic Systems&lt;/i&gt;.","plainTextFormattedCitation":"The Minister of Communication and Informatics No. 20 of 2016 on Protection of Personal Data in Electronic Systems.","previouslyFormattedCitation":"&lt;i&gt;The Minister of Communication and Informatics No. 20 of 2016 on Protection of Personal Data in Electronic Systems&lt;/i&gt;."},"properties":{"noteIndex":50},"schema":"https://github.com/citation-style-language/schema/raw/master/csl-citation.json"}</w:instrText>
      </w:r>
      <w:r w:rsidRPr="007B50BD">
        <w:fldChar w:fldCharType="separate"/>
      </w:r>
      <w:r w:rsidRPr="007B50BD">
        <w:rPr>
          <w:i/>
          <w:noProof/>
        </w:rPr>
        <w:t>The Minister of Communication and Informatics No. 20 of 2016 on Protection of Personal Data in Electronic Systems</w:t>
      </w:r>
      <w:r w:rsidRPr="007B50BD">
        <w:rPr>
          <w:noProof/>
        </w:rPr>
        <w:t>.</w:t>
      </w:r>
      <w:r w:rsidRPr="007B50BD">
        <w:fldChar w:fldCharType="end"/>
      </w:r>
    </w:p>
  </w:footnote>
  <w:footnote w:id="51">
    <w:p w14:paraId="692F1049" w14:textId="6D4CBB8F" w:rsidR="00EC504C" w:rsidRPr="00D80C6D" w:rsidRDefault="00EC504C" w:rsidP="00EC504C">
      <w:pPr>
        <w:pStyle w:val="FootnoteText"/>
      </w:pPr>
      <w:r>
        <w:rPr>
          <w:rStyle w:val="FootnoteReference"/>
          <w:rFonts w:eastAsiaTheme="minorEastAsia"/>
        </w:rPr>
        <w:footnoteRef/>
      </w:r>
      <w:r>
        <w:t xml:space="preserve"> </w:t>
      </w:r>
      <w:r>
        <w:fldChar w:fldCharType="begin" w:fldLock="1"/>
      </w:r>
      <w:r w:rsidR="00FE3AA1">
        <w:instrText>ADDIN CSL_CITATION {"citationItems":[{"id":"ITEM-1","itemData":{"id":"ITEM-1","issued":{"date-parts":[["0"]]},"title":"The Minister of Communication and Informatics No. 20 of 2016 on Protection of Personal Data in Electronic Systems","type":"legislation"},"uris":["http://www.mendeley.com/documents/?uuid=2e96f18f-a398-4784-b434-43231d53db35"]}],"mendeley":{"formattedCitation":"Ibid.","plainTextFormattedCitation":"Ibid.","previouslyFormattedCitation":"Ibid."},"properties":{"noteIndex":51},"schema":"https://github.com/citation-style-language/schema/raw/master/csl-citation.json"}</w:instrText>
      </w:r>
      <w:r>
        <w:fldChar w:fldCharType="separate"/>
      </w:r>
      <w:r w:rsidRPr="00D80C6D">
        <w:rPr>
          <w:noProof/>
        </w:rPr>
        <w:t>Ibid.</w:t>
      </w:r>
      <w:r>
        <w:fldChar w:fldCharType="end"/>
      </w:r>
    </w:p>
  </w:footnote>
  <w:footnote w:id="52">
    <w:p w14:paraId="4D909DA8" w14:textId="77777777" w:rsidR="00EC504C" w:rsidRPr="007B50BD" w:rsidRDefault="00EC504C" w:rsidP="00EC504C">
      <w:pPr>
        <w:pStyle w:val="FootnoteText"/>
        <w:ind w:firstLine="567"/>
      </w:pPr>
      <w:r w:rsidRPr="009B498D">
        <w:rPr>
          <w:rStyle w:val="FootnoteReference"/>
          <w:rFonts w:eastAsiaTheme="minorEastAsia"/>
        </w:rPr>
        <w:footnoteRef/>
      </w:r>
      <w:r>
        <w:t xml:space="preserve"> </w:t>
      </w:r>
      <w:r w:rsidRPr="007B50BD">
        <w:fldChar w:fldCharType="begin" w:fldLock="1"/>
      </w:r>
      <w:r>
        <w:instrText>ADDIN CSL_CITATION {"citationItems":[{"id":"ITEM-1","itemData":{"URL":"https://www.spiceworks.com/marketing/customer-data/articles/what-is-customer-data/","accessed":{"date-parts":[["2022","9","28"]]},"author":[{"dropping-particle":"","family":"Deshpande","given":"Indrajeet","non-dropping-particle":"","parse-names":false,"suffix":""}],"id":"ITEM-1","issued":{"date-parts":[["2021"]]},"page":"2","title":"What Is Customer Data? Definition, Types, Collection, Validation, and Analysis","type":"webpage"},"uris":["http://www.mendeley.com/documents/?uuid=5f1e1a5a-5469-4120-adb7-599549523b9c"]}],"mendeley":{"formattedCitation":"Indrajeet Deshpande, “What Is Customer Data? Definition, Types, Collection, Validation, and Analysis,” last modified 2021, accessed September 28, 2022, https://www.spiceworks.com/marketing/customer-data/articles/what-is-customer-data/.","plainTextFormattedCitation":"Indrajeet Deshpande, “What Is Customer Data? Definition, Types, Collection, Validation, and Analysis,” last modified 2021, accessed September 28, 2022, https://www.spiceworks.com/marketing/customer-data/articles/what-is-customer-data/.","previouslyFormattedCitation":"Indrajeet Deshpande, “What Is Customer Data? Definition, Types, Collection, Validation, and Analysis,” last modified 2021, accessed September 28, 2022, https://www.spiceworks.com/marketing/customer-data/articles/what-is-customer-data/."},"properties":{"noteIndex":52},"schema":"https://github.com/citation-style-language/schema/raw/master/csl-citation.json"}</w:instrText>
      </w:r>
      <w:r w:rsidRPr="007B50BD">
        <w:fldChar w:fldCharType="separate"/>
      </w:r>
      <w:r w:rsidRPr="007B50BD">
        <w:rPr>
          <w:noProof/>
        </w:rPr>
        <w:t>Indrajeet Deshpande, “What Is Customer Data? Definition, Types, Collection, Validation, and Analysis,” last modified 2021, accessed September 28, 2022, https://www.spiceworks.com/marketing/customer-data/articles/what-is-customer-data/.</w:t>
      </w:r>
      <w:r w:rsidRPr="007B50BD">
        <w:fldChar w:fldCharType="end"/>
      </w:r>
    </w:p>
  </w:footnote>
  <w:footnote w:id="53">
    <w:p w14:paraId="3FFD0767" w14:textId="77777777" w:rsidR="00EC504C" w:rsidRPr="00F346CE" w:rsidRDefault="00EC504C" w:rsidP="00EC504C">
      <w:pPr>
        <w:pStyle w:val="FootnoteText"/>
        <w:ind w:firstLine="426"/>
      </w:pPr>
      <w:r w:rsidRPr="009B498D">
        <w:rPr>
          <w:rStyle w:val="FootnoteReference"/>
          <w:rFonts w:eastAsiaTheme="minorEastAsia"/>
        </w:rPr>
        <w:footnoteRef/>
      </w:r>
      <w:r>
        <w:t xml:space="preserve"> </w:t>
      </w:r>
      <w:r w:rsidRPr="00F346CE">
        <w:fldChar w:fldCharType="begin" w:fldLock="1"/>
      </w:r>
      <w:r>
        <w:instrText>ADDIN CSL_CITATION {"citationItems":[{"id":"ITEM-1","itemData":{"DOI":"10.1186/s40537-019-0217-0","ISBN":"4053701902","ISSN":"21961115","abstract":"‘Big data’ is massive amounts of information that can work wonders. It has become a topic of special interest for the past two decades because of a great potential that is hidden in it. Various public and private sector industries generate, store, and analyze big data with an aim to improve the services they provide. In the healthcare industry, various sources for big data include hospital records, medical records of patients, results of medical examinations, and devices that are a part of internet of things. Biomedical research also generates a significant portion of big data relevant to public healthcare. This data requires proper management and analysis in order to derive meaningful information. Otherwise, seeking solution by analyzing big data quickly becomes comparable to finding a needle in the haystack. There are various challenges associated with each step of handling big data which can only be surpassed by using high-end computing solutions for big data analysis. That is why, to provide relevant solutions for improving public health, healthcare providers are required to be fully equipped with appropriate infrastructure to systematically generate and analyze big data. An efficient management, analysis, and interpretation of big data can change the game by opening new avenues for modern healthcare. That is exactly why various industries, including the healthcare industry, are taking vigorous steps to convert this potential into better services and financial advantages. With a strong integration of biomedical and healthcare data, modern healthcare organizations can possibly revolutionize the medical therapies and personalized medicine.","author":[{"dropping-particle":"","family":"Dash","given":"Sabyasachi","non-dropping-particle":"","parse-names":false,"suffix":""},{"dropping-particle":"","family":"Shakyawar","given":"Sushil Kumar","non-dropping-particle":"","parse-names":false,"suffix":""},{"dropping-particle":"","family":"Sharma","given":"Mohit","non-dropping-particle":"","parse-names":false,"suffix":""},{"dropping-particle":"","family":"Kaushik","given":"Sandeep","non-dropping-particle":"","parse-names":false,"suffix":""}],"container-title":"Journal of Big Data","id":"ITEM-1","issue":"1","issued":{"date-parts":[["2019"]]},"page":"2","publisher":"Springer International Publishing","title":"Big data in healthcare: management, analysis and future prospects","type":"article-journal","volume":"6"},"uris":["http://www.mendeley.com/documents/?uuid=beae8ac5-b913-4a6e-85a1-906c5ea68b69"]}],"mendeley":{"formattedCitation":"Sabyasachi Dash et al., “Big Data in Healthcare: Management, Analysis and Future Prospects,” &lt;i&gt;Journal of Big Data&lt;/i&gt; 6, no. 1 (2019): 2, https://doi.org/10.1186/s40537-019-0217-0.","plainTextFormattedCitation":"Sabyasachi Dash et al., “Big Data in Healthcare: Management, Analysis and Future Prospects,” Journal of Big Data 6, no. 1 (2019): 2, https://doi.org/10.1186/s40537-019-0217-0.","previouslyFormattedCitation":"Sabyasachi Dash et al., “Big Data in Healthcare: Management, Analysis and Future Prospects,” &lt;i&gt;Journal of Big Data&lt;/i&gt; 6, no. 1 (2019): 2, https://doi.org/10.1186/s40537-019-0217-0."},"properties":{"noteIndex":53},"schema":"https://github.com/citation-style-language/schema/raw/master/csl-citation.json"}</w:instrText>
      </w:r>
      <w:r w:rsidRPr="00F346CE">
        <w:fldChar w:fldCharType="separate"/>
      </w:r>
      <w:r w:rsidRPr="00F346CE">
        <w:rPr>
          <w:noProof/>
        </w:rPr>
        <w:t xml:space="preserve">Sabyasachi Dash et al., “Big Data in Healthcare: Management, Analysis and Future Prospects,” </w:t>
      </w:r>
      <w:r w:rsidRPr="00F346CE">
        <w:rPr>
          <w:i/>
          <w:noProof/>
        </w:rPr>
        <w:t>Journal of Big Data</w:t>
      </w:r>
      <w:r w:rsidRPr="00F346CE">
        <w:rPr>
          <w:noProof/>
        </w:rPr>
        <w:t xml:space="preserve"> 6, no. 1 (2019): 2, https://doi.org/10.1186/s40537-019-0217-0.</w:t>
      </w:r>
      <w:r w:rsidRPr="00F346CE">
        <w:fldChar w:fldCharType="end"/>
      </w:r>
    </w:p>
  </w:footnote>
  <w:footnote w:id="54">
    <w:p w14:paraId="6911DE4C" w14:textId="77777777" w:rsidR="00EC504C" w:rsidRPr="00F346CE" w:rsidRDefault="00EC504C" w:rsidP="00EC504C">
      <w:pPr>
        <w:pStyle w:val="FootnoteText"/>
        <w:ind w:firstLine="426"/>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{"citationItems":[{"id":"ITEM-1","itemData":{"DOI":"10.3390/su13147721","ISSN":"20711050","abstract":"Data mining is a technique that aims to explain large data sets through patterns of behavior, associations, changes, or significant structures in the data. The main goal of this study was to analyze information about beliefs and attitudes towards hypnosis, evaluated by the Valencia Scale of Attitudes and Beliefs Toward Hypnosis, Client version (VSABTH-C) in two temporal moments with a total of 444 participants; developing decision trees in order to discover any sociodemographic factors influencing these variables. The results indicate some influence of gender, education level, and profession on the scores in the scale factors, thus women tended to get higher scores on factors such as Control and Fear; people with a higher educational level tended to get higher scores on factors that denote more positive attitudes and beliefs towards hypnosis; in addition, the psychologist participants showed more positive attitudes and beliefs regarding hypnosis. Considering these results, it would be interesting to carry out similar studies, increasing the size of the sample and also adding some new variables, in order to deepen this relationship and implement changes that would lead people to have more positive attitudes and beliefs regarding hypnosis.","author":[{"dropping-particle":"","family":"Franquelo","given":"María Auxiliadora","non-dropping-particle":"","parse-names":false,"suffix":""},{"dropping-particle":"","family":"Pastrana-Brincones","given":"Jose Luis","non-dropping-particle":"","parse-names":false,"suffix":""},{"dropping-particle":"","family":"Reigal","given":"Rafael E.","non-dropping-particle":"","parse-names":false,"suffix":""},{"dropping-particle":"","family":"Morillo-Baro","given":"Juan P.","non-dropping-particle":"","parse-names":false,"suffix":""},{"dropping-particle":"","family":"Vázquez-Diz","given":"Juan A.","non-dropping-particle":"","parse-names":false,"suffix":""},{"dropping-particle":"","family":"Hernández-Mendo","given":"Antonio","non-dropping-particle":"","parse-names":false,"suffix":""},{"dropping-particle":"","family":"Morales-Sánchez","given":"Verónica","non-dropping-particle":"","parse-names":false,"suffix":""}],"container-title":"Sustainability (Switzerland)","id":"ITEM-1","issue":"14","issued":{"date-parts":[["2021"]]},"page":"1","title":"Data mining for attitudinal and belief profiles determination towards hypnosis","type":"article-journal","volume":"13"},"uris":["http://www.mendeley.com/documents/?uuid=5751a154-a17c-4c96-94ea-1974246cf3a3"]}],"mendeley":{"formattedCitation":"María Auxiliadora Franquelo et al., “Data Mining for Attitudinal and Belief Profiles Determination towards Hypnosis,” &lt;i&gt;Sustainability (Switzerland)&lt;/i&gt; 13, no. 14 (2021): 1.","plainTextFormattedCitation":"María Auxiliadora Franquelo et al., “Data Mining for Attitudinal and Belief Profiles Determination towards Hypnosis,” Sustainability (Switzerland) 13, no. 14 (2021): 1.","previouslyFormattedCitation":"María Auxiliadora Franquelo et al., “Data Mining for Attitudinal and Belief Profiles Determination towards Hypnosis,” &lt;i&gt;Sustainability (Switzerland)&lt;/i&gt; 13, no. 14 (2021): 1."},"properties":{"noteIndex":54},"schema":"https://github.com/citation-style-language/schema/raw/master/csl-citation.json"}</w:instrText>
      </w:r>
      <w:r w:rsidRPr="00F346CE">
        <w:fldChar w:fldCharType="separate"/>
      </w:r>
      <w:r w:rsidRPr="00F346CE">
        <w:rPr>
          <w:noProof/>
        </w:rPr>
        <w:t xml:space="preserve">María Auxiliadora Franquelo et al., “Data Mining for Attitudinal and Belief Profiles Determination towards Hypnosis,” </w:t>
      </w:r>
      <w:r w:rsidRPr="00F346CE">
        <w:rPr>
          <w:i/>
          <w:noProof/>
        </w:rPr>
        <w:t>Sustainability (Switzerland)</w:t>
      </w:r>
      <w:r w:rsidRPr="00F346CE">
        <w:rPr>
          <w:noProof/>
        </w:rPr>
        <w:t xml:space="preserve"> 13, no. 14 (2021): 1.</w:t>
      </w:r>
      <w:r w:rsidRPr="00F346CE">
        <w:fldChar w:fldCharType="end"/>
      </w:r>
    </w:p>
  </w:footnote>
  <w:footnote w:id="55">
    <w:p w14:paraId="6D89E851" w14:textId="77777777" w:rsidR="00EC504C" w:rsidRPr="00F346CE" w:rsidRDefault="00EC504C" w:rsidP="00EC504C">
      <w:pPr>
        <w:pStyle w:val="FootnoteText"/>
        <w:ind w:firstLine="426"/>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{"citationItems":[{"id":"ITEM-1","itemData":{"DOI":"10.4314/ijonas.v5i1.49926","ISSN":"1099811X","PMID":"2005089444","abstract":"Data mining has been used intensively and extensively by many organizations. In healthcare, data mining is becoming increasingly popular, if not increasingly essential. Data mining applications can greatly benefit all parties involved in the healthcare industry. For example, data mining can help healthcare insurers detect fraud and abuse, healthcare organizations make customer relationship management decisions, physicians identify effective treatments and best practices, and patients receive better and more affordable healthcare services. The huge amounts of data generated by healthcare transactions are too complex and voluminous to be processed and analyzed by traditional methods. Data mining provides the methodology and technology to transform these mounds of data into useful information for decision making. This article explores data mining applications in healthcare. In particular, it discusses data mining and its applications within healthcare in major areas such as the evaluation of treatment effectiveness, management of healthcare, customer relationship management, and the detection of fraud and abuse. It also gives an illustrative example of a healthcare data mining application involving the identification of risk factors associated with the onset of diabetes. Finally, the article highlights the limitations of data mining and discusses some future directions.","author":[{"dropping-particle":"","family":"Koh","given":"Hian Chye","non-dropping-particle":"","parse-names":false,"suffix":""},{"dropping-particle":"","family":"Tan","given":"Gerald","non-dropping-particle":"","parse-names":false,"suffix":""}],"container-title":"Journal of healthcare information management : JHIM","id":"ITEM-1","issue":"2","issued":{"date-parts":[["2005"]]},"page":"64-72","title":"Data mining applications in healthcare.","type":"article-journal","volume":"19"},"uris":["http://www.mendeley.com/documents/?uuid=71e93ef8-6729-4fcf-9510-b13876a3f6bb"]}],"mendeley":{"formattedCitation":"Hian Chye Koh and Gerald Tan, “Data Mining Applications in Healthcare.,” &lt;i&gt;Journal of healthcare information management : JHIM&lt;/i&gt; 19, no. 2 (2005): 64–72.","plainTextFormattedCitation":"Hian Chye Koh and Gerald Tan, “Data Mining Applications in Healthcare.,” Journal of healthcare information management : JHIM 19, no. 2 (2005): 64–72.","previouslyFormattedCitation":"Hian Chye Koh and Gerald Tan, “Data Mining Applications in Healthcare.,” &lt;i&gt;Journal of healthcare information management : JHIM&lt;/i&gt; 19, no. 2 (2005): 64–72."},"properties":{"noteIndex":55},"schema":"https://github.com/citation-style-language/schema/raw/master/csl-citation.json"}</w:instrText>
      </w:r>
      <w:r w:rsidRPr="00F346CE">
        <w:fldChar w:fldCharType="separate"/>
      </w:r>
      <w:r w:rsidRPr="00F346CE">
        <w:rPr>
          <w:noProof/>
        </w:rPr>
        <w:t xml:space="preserve">Hian Chye Koh and Gerald Tan, “Data Mining Applications in Healthcare.,” </w:t>
      </w:r>
      <w:r w:rsidRPr="00F346CE">
        <w:rPr>
          <w:i/>
          <w:noProof/>
        </w:rPr>
        <w:t>Journal of healthcare information management : JHIM</w:t>
      </w:r>
      <w:r w:rsidRPr="00F346CE">
        <w:rPr>
          <w:noProof/>
        </w:rPr>
        <w:t xml:space="preserve"> 19, no. 2 (2005): 64–72.</w:t>
      </w:r>
      <w:r w:rsidRPr="00F346CE">
        <w:fldChar w:fldCharType="end"/>
      </w:r>
    </w:p>
  </w:footnote>
  <w:footnote w:id="56">
    <w:p w14:paraId="5EA25C0B" w14:textId="77777777" w:rsidR="00EC504C" w:rsidRPr="00F346CE" w:rsidRDefault="00EC504C" w:rsidP="00EC504C">
      <w:pPr>
        <w:pStyle w:val="FootnoteText"/>
        <w:ind w:firstLine="426"/>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{"citationItems":[{"id":"ITEM-1","itemData":{"DOI":"10.1186/s40537-019-0217-0","ISBN":"4053701902","ISSN":"21961115","abstract":"‘Big data’ is massive amounts of information that can work wonders. It has become a topic of special interest for the past two decades because of a great potential that is hidden in it. Various public and private sector industries generate, store, and analyze big data with an aim to improve the services they provide. In the healthcare industry, various sources for big data include hospital records, medical records of patients, results of medical examinations, and devices that are a part of internet of things. Biomedical research also generates a significant portion of big data relevant to public healthcare. This data requires proper management and analysis in order to derive meaningful information. Otherwise, seeking solution by analyzing big data quickly becomes comparable to finding a needle in the haystack. There are various challenges associated with each step of handling big data which can only be surpassed by using high-end computing solutions for big data analysis. That is why, to provide relevant solutions for improving public health, healthcare providers are required to be fully equipped with appropriate infrastructure to systematically generate and analyze big data. An efficient management, analysis, and interpretation of big data can change the game by opening new avenues for modern healthcare. That is exactly why various industries, including the healthcare industry, are taking vigorous steps to convert this potential into better services and financial advantages. With a strong integration of biomedical and healthcare data, modern healthcare organizations can possibly revolutionize the medical therapies and personalized medicine.","author":[{"dropping-particle":"","family":"Dash","given":"Sabyasachi","non-dropping-particle":"","parse-names":false,"suffix":""},{"dropping-particle":"","family":"Shakyawar","given":"Sushil Kumar","non-dropping-particle":"","parse-names":false,"suffix":""},{"dropping-particle":"","family":"Sharma","given":"Mohit","non-dropping-particle":"","parse-names":false,"suffix":""},{"dropping-particle":"","family":"Kaushik","given":"Sandeep","non-dropping-particle":"","parse-names":false,"suffix":""}],"container-title":"Journal of Big Data","id":"ITEM-1","issue":"1","issued":{"date-parts":[["2019"]]},"page":"2","publisher":"Springer International Publishing","title":"Big data in healthcare: management, analysis and future prospects","type":"article-journal","volume":"6"},"uris":["http://www.mendeley.com/documents/?uuid=beae8ac5-b913-4a6e-85a1-906c5ea68b69"]}],"mendeley":{"formattedCitation":"Dash et al., “Big Data in Healthcare: Management, Analysis and Future Prospects.”","plainTextFormattedCitation":"Dash et al., “Big Data in Healthcare: Management, Analysis and Future Prospects.”","previouslyFormattedCitation":"Dash et al., “Big Data in Healthcare: Management, Analysis and Future Prospects.”"},"properties":{"noteIndex":56},"schema":"https://github.com/citation-style-language/schema/raw/master/csl-citation.json"}</w:instrText>
      </w:r>
      <w:r w:rsidRPr="00F346CE">
        <w:fldChar w:fldCharType="separate"/>
      </w:r>
      <w:r w:rsidRPr="00F346CE">
        <w:rPr>
          <w:noProof/>
        </w:rPr>
        <w:t>Dash et al., “Big Data in Healthcare: Management, Analysis and Future Prospects.”</w:t>
      </w:r>
      <w:r w:rsidRPr="00F346CE">
        <w:fldChar w:fldCharType="end"/>
      </w:r>
    </w:p>
  </w:footnote>
  <w:footnote w:id="57">
    <w:p w14:paraId="15B1EC23" w14:textId="77777777" w:rsidR="00EC504C" w:rsidRPr="00F346CE" w:rsidRDefault="00EC504C" w:rsidP="00EC504C">
      <w:pPr>
        <w:pStyle w:val="FootnoteText"/>
        <w:ind w:firstLine="426"/>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URL":"https://www.spiceworks.com/marketing/customer-data/articles/what-is-customer-data/","accessed":{"date-parts":[["2022","9","28"]]},"author":[{"dropping-particle":"","family":"Deshpande","given":"Indrajeet","non-dropping-particle":"","parse-names":false,"suffix":""}],"id":"ITEM-1","issued":{"date-parts":[["2021"]]},"page":"2","title":"What Is Customer Data? Definition, Types, Collection, Validation, and Analysis","type":"webpage"},"uris":["http://www.mendeley.com/documents/?uuid=5f1e1a5a-5469-4120-adb7-599549523b9c"]}],"mendeley":{"formattedCitation":"Deshpande, “What Is Customer Data? Definition, Types, Collection, Validation, and Analysis.”","plainTextFormattedCitation":"Deshpande, “What Is Customer Data? Definition, Types, Collection, Validation, and Analysis.”","previouslyFormattedCitation":"Deshpande, “What Is Customer Data? Definition, Types, Collection, Validation, and Analysis.”"},"properties":{"noteIndex":57},"schema":"https://github.com/citation-style-language/schema/raw/master/csl-citation.json"}</w:instrText>
      </w:r>
      <w:r w:rsidRPr="00F346CE">
        <w:fldChar w:fldCharType="separate"/>
      </w:r>
      <w:r w:rsidRPr="00F346CE">
        <w:rPr>
          <w:noProof/>
        </w:rPr>
        <w:t>Deshpande, “What Is Customer Data? Definition, Types, Collection, Validation, and Analysis.”</w:t>
      </w:r>
      <w:r w:rsidRPr="00F346CE">
        <w:fldChar w:fldCharType="end"/>
      </w:r>
    </w:p>
  </w:footnote>
  <w:footnote w:id="58">
    <w:p w14:paraId="65BCC1E5" w14:textId="77777777" w:rsidR="00EC504C" w:rsidRPr="00F346CE" w:rsidRDefault="00EC504C" w:rsidP="00EC504C">
      <w:pPr>
        <w:pStyle w:val="FootnoteText"/>
        <w:ind w:firstLine="426"/>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{"citationItems":[{"id":"ITEM-1","itemData":{"DOI":"https://doi.org/10.2307/1229511","author":[{"dropping-particle":"","family":"Samuelson","given":"Pamela","non-dropping-particle":"","parse-names":false,"suffix":""}],"container-title":"Stanford Law Review","id":"ITEM-1","issue":"5","issued":{"date-parts":[["2000"]]},"page":"1125–73","title":"Privacy as Intellectual Property?","type":"article-journal","volume":"52"},"uris":["http://www.mendeley.com/documents/?uuid=11ccd19d-3adc-42da-8038-d4a63eb64f4c"]}],"mendeley":{"formattedCitation":"Pamela Samuelson, “Privacy as Intellectual Property?,” &lt;i&gt;Stanford Law Review&lt;/i&gt; 52, no. 5 (2000): 1125–73.","plainTextFormattedCitation":"Pamela Samuelson, “Privacy as Intellectual Property?,” Stanford Law Review 52, no. 5 (2000): 1125–73.","previouslyFormattedCitation":"Pamela Samuelson, “Privacy as Intellectual Property?,” &lt;i&gt;Stanford Law Review&lt;/i&gt; 52, no. 5 (2000): 1125–73."},"properties":{"noteIndex":58},"schema":"https://github.com/citation-style-language/schema/raw/master/csl-citation.json"}</w:instrText>
      </w:r>
      <w:r w:rsidRPr="00F346CE">
        <w:fldChar w:fldCharType="separate"/>
      </w:r>
      <w:r w:rsidRPr="00F346CE">
        <w:rPr>
          <w:noProof/>
        </w:rPr>
        <w:t xml:space="preserve">Pamela Samuelson, “Privacy as Intellectual Property?,” </w:t>
      </w:r>
      <w:r w:rsidRPr="00F346CE">
        <w:rPr>
          <w:i/>
          <w:noProof/>
        </w:rPr>
        <w:t>Stanford Law Review</w:t>
      </w:r>
      <w:r w:rsidRPr="00F346CE">
        <w:rPr>
          <w:noProof/>
        </w:rPr>
        <w:t xml:space="preserve"> 52, no. 5 (2000): 1125–73.</w:t>
      </w:r>
      <w:r w:rsidRPr="00F346CE">
        <w:fldChar w:fldCharType="end"/>
      </w:r>
    </w:p>
  </w:footnote>
  <w:footnote w:id="59">
    <w:p w14:paraId="15675D76" w14:textId="77777777" w:rsidR="00EC504C" w:rsidRPr="00F346CE" w:rsidRDefault="00EC504C" w:rsidP="00EC504C">
      <w:pPr>
        <w:pStyle w:val="FootnoteText"/>
        <w:ind w:firstLine="567"/>
      </w:pPr>
      <w:r w:rsidRPr="009B498D">
        <w:rPr>
          <w:rStyle w:val="FootnoteReference"/>
          <w:rFonts w:eastAsiaTheme="minorEastAsia"/>
        </w:rPr>
        <w:footnoteRef/>
      </w:r>
      <w:r>
        <w:t xml:space="preserve"> </w:t>
      </w:r>
      <w:r w:rsidRPr="00F346CE">
        <w:fldChar w:fldCharType="begin" w:fldLock="1"/>
      </w:r>
      <w:r>
        <w:instrText>ADDIN CSL_CITATION {"citationItems":[{"id":"ITEM-1","itemData":{"DOI":"https://doi.org/10.4236/ojpp.2018.83015","author":[{"dropping-particle":"","family":"Bottis","given":"Maria","non-dropping-particle":"","parse-names":false,"suffix":""},{"dropping-particle":"","family":"Boucha","given":"George","non-dropping-particle":"","parse-names":false,"suffix":""}],"container-title":"Open Journal of Philosophy","id":"ITEM-1","issued":{"date-parts":[["2018"]]},"page":"206-215","title":"Personal Data v. Big Data: Challenges of Commodification of Personal Data","type":"article-journal","volume":"8"},"uris":["http://www.mendeley.com/documents/?uuid=af6130c2-dc1c-4364-ac0a-e625c57532b4"]}],"mendeley":{"formattedCitation":"Bottis and Boucha, “Personal Data v. Big Data: Challenges of Commodification of Personal Data.”","plainTextFormattedCitation":"Bottis and Boucha, “Personal Data v. Big Data: Challenges of Commodification of Personal Data.”","previouslyFormattedCitation":"Bottis and Boucha, “Personal Data v. Big Data: Challenges of Commodification of Personal Data.”"},"properties":{"noteIndex":59},"schema":"https://github.com/citation-style-language/schema/raw/master/csl-citation.json"}</w:instrText>
      </w:r>
      <w:r w:rsidRPr="00F346CE">
        <w:fldChar w:fldCharType="separate"/>
      </w:r>
      <w:r w:rsidRPr="00F346CE">
        <w:rPr>
          <w:noProof/>
        </w:rPr>
        <w:t>Bottis and Boucha, “Personal Data v. Big Data: Challenges of Commodification of Personal Data.”</w:t>
      </w:r>
      <w:r w:rsidRPr="00F346CE">
        <w:fldChar w:fldCharType="end"/>
      </w:r>
    </w:p>
  </w:footnote>
  <w:footnote w:id="60">
    <w:p w14:paraId="39794797" w14:textId="77777777" w:rsidR="00EC504C" w:rsidRPr="00F346CE" w:rsidRDefault="00EC504C" w:rsidP="00EC504C">
      <w:pPr>
        <w:pStyle w:val="FootnoteText"/>
        <w:ind w:firstLine="567"/>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{"citationItems":[{"id":"ITEM-1","itemData":{"DOI":"https://doi.org/10.1016/j.irle.2015.11.004","author":[{"dropping-particle":"","family":"Franzoni","given":"Luigi Alberto","non-dropping-particle":"","parse-names":false,"suffix":""},{"dropping-particle":"","family":"Kaushik","given":"Arun Kumar","non-dropping-particle":"","parse-names":false,"suffix":""}],"container-title":"International Review of Law and Economics","id":"ITEM-1","issued":{"date-parts":[["2016"]]},"page":"45-53","title":"The optimal scope of trade secrets law","type":"article-journal","volume":"45"},"uris":["http://www.mendeley.com/documents/?uuid=daee0e0c-7b3c-428d-a523-ee1daf876bf5"]}],"mendeley":{"formattedCitation":"Luigi Alberto Franzoni and Arun Kumar Kaushik, “The Optimal Scope of Trade Secrets Law,” &lt;i&gt;International Review of Law and Economics&lt;/i&gt; 45 (2016): 45–53.","plainTextFormattedCitation":"Luigi Alberto Franzoni and Arun Kumar Kaushik, “The Optimal Scope of Trade Secrets Law,” International Review of Law and Economics 45 (2016): 45–53.","previouslyFormattedCitation":"Luigi Alberto Franzoni and Arun Kumar Kaushik, “The Optimal Scope of Trade Secrets Law,” &lt;i&gt;International Review of Law and Economics&lt;/i&gt; 45 (2016): 45–53."},"properties":{"noteIndex":60},"schema":"https://github.com/citation-style-language/schema/raw/master/csl-citation.json"}</w:instrText>
      </w:r>
      <w:r w:rsidRPr="00F346CE">
        <w:fldChar w:fldCharType="separate"/>
      </w:r>
      <w:r w:rsidRPr="00F346CE">
        <w:rPr>
          <w:noProof/>
        </w:rPr>
        <w:t xml:space="preserve">Luigi Alberto Franzoni and Arun Kumar Kaushik, “The Optimal Scope of Trade Secrets Law,” </w:t>
      </w:r>
      <w:r w:rsidRPr="00F346CE">
        <w:rPr>
          <w:i/>
          <w:noProof/>
        </w:rPr>
        <w:t>International Review of Law and Economics</w:t>
      </w:r>
      <w:r w:rsidRPr="00F346CE">
        <w:rPr>
          <w:noProof/>
        </w:rPr>
        <w:t xml:space="preserve"> 45 (2016): 45–53.</w:t>
      </w:r>
      <w:r w:rsidRPr="00F346CE">
        <w:fldChar w:fldCharType="end"/>
      </w:r>
    </w:p>
  </w:footnote>
  <w:footnote w:id="61">
    <w:p w14:paraId="7CBC4FE2" w14:textId="77777777" w:rsidR="00EC504C" w:rsidRPr="00F346CE" w:rsidRDefault="00EC504C" w:rsidP="00EC504C">
      <w:pPr>
        <w:pStyle w:val="FootnoteText"/>
        <w:ind w:firstLine="567"/>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{"citationItems":[{"id":"ITEM-1","itemData":{"DOI":"10.14201/ADCAIJ2018727180","author":[{"dropping-particle":"","family":"Becerril","given":"A. A.","non-dropping-particle":"","parse-names":false,"suffix":""}],"container-title":"ADCAIJ: Advances in Distributed Computing and Artificial Intelligence Journal","id":"ITEM-1","issue":"2","issued":{"date-parts":[["2018"]]},"page":"71-80","title":"The Value of Our Personal Data in the Big Data and the Internet of All Things Era","type":"article-journal","volume":"7"},"uris":["http://www.mendeley.com/documents/?uuid=456db858-7343-48b6-af17-90f9df87e384"]}],"mendeley":{"formattedCitation":"A. A. Becerril, “The Value of Our Personal Data in the Big Data and the Internet of All Things Era,” &lt;i&gt;ADCAIJ: Advances in Distributed Computing and Artificial Intelligence Journal&lt;/i&gt; 7, no. 2 (2018): 71–80.","plainTextFormattedCitation":"A. A. Becerril, “The Value of Our Personal Data in the Big Data and the Internet of All Things Era,” ADCAIJ: Advances in Distributed Computing and Artificial Intelligence Journal 7, no. 2 (2018): 71–80.","previouslyFormattedCitation":"A. A. Becerril, “The Value of Our Personal Data in the Big Data and the Internet of All Things Era,” &lt;i&gt;ADCAIJ: Advances in Distributed Computing and Artificial Intelligence Journal&lt;/i&gt; 7, no. 2 (2018): 71–80."},"properties":{"noteIndex":61},"schema":"https://github.com/citation-style-language/schema/raw/master/csl-citation.json"}</w:instrText>
      </w:r>
      <w:r w:rsidRPr="00F346CE">
        <w:fldChar w:fldCharType="separate"/>
      </w:r>
      <w:r w:rsidRPr="00F346CE">
        <w:rPr>
          <w:noProof/>
        </w:rPr>
        <w:t xml:space="preserve">A. A. Becerril, “The Value of Our Personal Data in the Big Data and the Internet of All Things Era,” </w:t>
      </w:r>
      <w:r w:rsidRPr="00F346CE">
        <w:rPr>
          <w:i/>
          <w:noProof/>
        </w:rPr>
        <w:t>ADCAIJ: Advances in Distributed Computing and Artificial Intelligence Journal</w:t>
      </w:r>
      <w:r w:rsidRPr="00F346CE">
        <w:rPr>
          <w:noProof/>
        </w:rPr>
        <w:t xml:space="preserve"> 7, no. 2 (2018): 71–80.</w:t>
      </w:r>
      <w:r w:rsidRPr="00F346CE">
        <w:fldChar w:fldCharType="end"/>
      </w:r>
    </w:p>
  </w:footnote>
  <w:footnote w:id="62">
    <w:p w14:paraId="5F517DBF" w14:textId="77777777" w:rsidR="00EC504C" w:rsidRPr="00F346CE" w:rsidRDefault="00EC504C" w:rsidP="00EC504C">
      <w:pPr>
        <w:pStyle w:val="FootnoteText"/>
        <w:ind w:firstLine="567"/>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URL":"https://www.spiceworks.com/marketing/customer-data/articles/what-is-customer-data/","accessed":{"date-parts":[["2022","9","28"]]},"author":[{"dropping-particle":"","family":"Deshpande","given":"Indrajeet","non-dropping-particle":"","parse-names":false,"suffix":""}],"id":"ITEM-1","issued":{"date-parts":[["2021"]]},"page":"2","title":"What Is Customer Data? Definition, Types, Collection, Validation, and Analysis","type":"webpage"},"uris":["http://www.mendeley.com/documents/?uuid=5f1e1a5a-5469-4120-adb7-599549523b9c"]}],"mendeley":{"formattedCitation":"Deshpande, “What Is Customer Data? Definition, Types, Collection, Validation, and Analysis.”","plainTextFormattedCitation":"Deshpande, “What Is Customer Data? Definition, Types, Collection, Validation, and Analysis.”","previouslyFormattedCitation":"Deshpande, “What Is Customer Data? Definition, Types, Collection, Validation, and Analysis.”"},"properties":{"noteIndex":62},"schema":"https://github.com/citation-style-language/schema/raw/master/csl-citation.json"}</w:instrText>
      </w:r>
      <w:r w:rsidRPr="00F346CE">
        <w:fldChar w:fldCharType="separate"/>
      </w:r>
      <w:r w:rsidRPr="00F346CE">
        <w:rPr>
          <w:noProof/>
        </w:rPr>
        <w:t>Deshpande, “What Is Customer Data? Definition, Types, Collection, Validation, and Analysis.”</w:t>
      </w:r>
      <w:r w:rsidRPr="00F346CE">
        <w:fldChar w:fldCharType="end"/>
      </w:r>
    </w:p>
  </w:footnote>
  <w:footnote w:id="63">
    <w:p w14:paraId="5451F0E9" w14:textId="77777777" w:rsidR="00EC504C" w:rsidRPr="00F346CE" w:rsidRDefault="00EC504C" w:rsidP="00EC504C">
      <w:pPr>
        <w:pStyle w:val="FootnoteText"/>
        <w:ind w:firstLine="567"/>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URL":"https://www.spiceworks.com/marketing/customer-data/articles/what-is-customer-data/","accessed":{"date-parts":[["2022","9","28"]]},"author":[{"dropping-particle":"","family":"Deshpande","given":"Indrajeet","non-dropping-particle":"","parse-names":false,"suffix":""}],"id":"ITEM-1","issued":{"date-parts":[["2021"]]},"page":"2","title":"What Is Customer Data? Definition, Types, Collection, Validation, and Analysis","type":"webpage"},"uris":["http://www.mendeley.com/documents/?uuid=5f1e1a5a-5469-4120-adb7-599549523b9c"]}],"mendeley":{"formattedCitation":"Ibid.","plainTextFormattedCitation":"Ibid.","previouslyFormattedCitation":"Ibid."},"properties":{"noteIndex":63},"schema":"https://github.com/citation-style-language/schema/raw/master/csl-citation.json"}</w:instrText>
      </w:r>
      <w:r w:rsidRPr="00F346CE">
        <w:fldChar w:fldCharType="separate"/>
      </w:r>
      <w:r w:rsidRPr="00F346CE">
        <w:rPr>
          <w:noProof/>
        </w:rPr>
        <w:t>Ibid.</w:t>
      </w:r>
      <w:r w:rsidRPr="00F346CE">
        <w:fldChar w:fldCharType="end"/>
      </w:r>
    </w:p>
  </w:footnote>
  <w:footnote w:id="64">
    <w:p w14:paraId="66940364" w14:textId="77777777" w:rsidR="00EC504C" w:rsidRPr="00F346CE" w:rsidRDefault="00EC504C" w:rsidP="00EC504C">
      <w:pPr>
        <w:pStyle w:val="FootnoteText"/>
        <w:ind w:firstLine="567"/>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{"citationItems":[{"id":"ITEM-1","itemData":{"DOI":"https://doi.org/10.3390/ knowledge2020014","author":[{"dropping-particle":"","family":"Drivas","given":"I.C.","non-dropping-particle":"","parse-names":false,"suffix":""},{"dropping-particle":"","family":"Kouis","given":"D.","non-dropping-particle":"","parse-names":false,"suffix":""},{"dropping-particle":"","family":"Kyriaki-Manessi","given":"D.","non-dropping-particle":"","parse-names":false,"suffix":""},{"dropping-particle":"","family":"Giannakopoulou","given":"F","non-dropping-particle":"","parse-names":false,"suffix":""}],"container-title":"Knowledge","id":"ITEM-1","issued":{"date-parts":[["2022"]]},"page":"225–242","title":"Social Media Analytics and Metrics for Improving Users Engagement","type":"article-journal","volume":"2"},"uris":["http://www.mendeley.com/documents/?uuid=7cfff822-36c4-414b-9163-e21f3f2727cb"]}],"mendeley":{"formattedCitation":"I.C. Drivas et al., “Social Media Analytics and Metrics for Improving Users Engagement,” &lt;i&gt;Knowledge&lt;/i&gt; 2 (2022): 225–242.","plainTextFormattedCitation":"I.C. Drivas et al., “Social Media Analytics and Metrics for Improving Users Engagement,” Knowledge 2 (2022): 225–242.","previouslyFormattedCitation":"I.C. Drivas et al., “Social Media Analytics and Metrics for Improving Users Engagement,” &lt;i&gt;Knowledge&lt;/i&gt; 2 (2022): 225–242."},"properties":{"noteIndex":64},"schema":"https://github.com/citation-style-language/schema/raw/master/csl-citation.json"}</w:instrText>
      </w:r>
      <w:r w:rsidRPr="00F346CE">
        <w:fldChar w:fldCharType="separate"/>
      </w:r>
      <w:r w:rsidRPr="00F346CE">
        <w:rPr>
          <w:noProof/>
        </w:rPr>
        <w:t xml:space="preserve">I.C. Drivas et al., “Social Media Analytics and Metrics for Improving Users Engagement,” </w:t>
      </w:r>
      <w:r w:rsidRPr="00F346CE">
        <w:rPr>
          <w:i/>
          <w:noProof/>
        </w:rPr>
        <w:t>Knowledge</w:t>
      </w:r>
      <w:r w:rsidRPr="00F346CE">
        <w:rPr>
          <w:noProof/>
        </w:rPr>
        <w:t xml:space="preserve"> 2 (2022): 225–242.</w:t>
      </w:r>
      <w:r w:rsidRPr="00F346CE">
        <w:fldChar w:fldCharType="end"/>
      </w:r>
    </w:p>
  </w:footnote>
  <w:footnote w:id="65">
    <w:p w14:paraId="575310FB" w14:textId="77777777" w:rsidR="00EC504C" w:rsidRPr="00F346CE" w:rsidRDefault="00EC504C" w:rsidP="00EC504C">
      <w:pPr>
        <w:pStyle w:val="FootnoteText"/>
        <w:ind w:firstLine="567"/>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URL":"https://www.mckinsey.com/capabilities/mckinsey-digital/our-insights/big-data-whats-your-plan","accessed":{"date-parts":[["2022","9","28"]]},"author":[{"dropping-particle":"","family":"Biesdorf","given":"Stefan","non-dropping-particle":"","parse-names":false,"suffix":""},{"dropping-particle":"","family":"Court","given":"David","non-dropping-particle":"","parse-names":false,"suffix":""},{"dropping-particle":"","family":"Willmott","given":"Paul","non-dropping-particle":"","parse-names":false,"suffix":""}],"container-title":"1 March 2013","id":"ITEM-1","issued":{"date-parts":[["2013"]]},"title":"Big data: What’s your plan?","type":"webpage"},"uris":["http://www.mendeley.com/documents/?uuid=4399b526-0b4a-4f12-a403-ef772f3f4a39"]}],"mendeley":{"formattedCitation":"Stefan Biesdorf, David Court, and Paul Willmott, “Big Data: What’s Your Plan?,” &lt;i&gt;1 March 2013&lt;/i&gt;, last modified 2013, accessed September 28, 2022, https://www.mckinsey.com/capabilities/mckinsey-digital/our-insights/big-data-whats-your-plan.","plainTextFormattedCitation":"Stefan Biesdorf, David Court, and Paul Willmott, “Big Data: What’s Your Plan?,” 1 March 2013, last modified 2013, accessed September 28, 2022, https://www.mckinsey.com/capabilities/mckinsey-digital/our-insights/big-data-whats-your-plan.","previouslyFormattedCitation":"Stefan Biesdorf, David Court, and Paul Willmott, “Big Data: What’s Your Plan?,” &lt;i&gt;1 March 2013&lt;/i&gt;, last modified 2013, accessed September 28, 2022, https://www.mckinsey.com/capabilities/mckinsey-digital/our-insights/big-data-whats-your-plan."},"properties":{"noteIndex":65},"schema":"https://github.com/citation-style-language/schema/raw/master/csl-citation.json"}</w:instrText>
      </w:r>
      <w:r w:rsidRPr="00F346CE">
        <w:fldChar w:fldCharType="separate"/>
      </w:r>
      <w:r w:rsidRPr="00F346CE">
        <w:rPr>
          <w:noProof/>
        </w:rPr>
        <w:t xml:space="preserve">Stefan Biesdorf, David Court, and Paul Willmott, “Big Data: What’s Your Plan?,” </w:t>
      </w:r>
      <w:r w:rsidRPr="00F346CE">
        <w:rPr>
          <w:i/>
          <w:noProof/>
        </w:rPr>
        <w:t>1 March 2013</w:t>
      </w:r>
      <w:r w:rsidRPr="00F346CE">
        <w:rPr>
          <w:noProof/>
        </w:rPr>
        <w:t>, last modified 2013, accessed September 28, 2022, https://www.mckinsey.com/capabilities/mckinsey-digital/our-insights/big-data-whats-your-plan.</w:t>
      </w:r>
      <w:r w:rsidRPr="00F346CE">
        <w:fldChar w:fldCharType="end"/>
      </w:r>
    </w:p>
  </w:footnote>
  <w:footnote w:id="66">
    <w:p w14:paraId="28BF5E7A" w14:textId="77777777" w:rsidR="00EC504C" w:rsidRPr="00B1529E" w:rsidRDefault="00EC504C" w:rsidP="00EC504C">
      <w:pPr>
        <w:pStyle w:val="FootnoteText"/>
        <w:ind w:firstLine="567"/>
      </w:pPr>
      <w:r w:rsidRPr="009B498D">
        <w:rPr>
          <w:rStyle w:val="FootnoteReference"/>
          <w:rFonts w:eastAsiaTheme="minorEastAsia"/>
        </w:rPr>
        <w:footnoteRef/>
      </w:r>
      <w:r w:rsidRPr="00F346CE">
        <w:t xml:space="preserve"> </w:t>
      </w:r>
      <w:r w:rsidRPr="00F346CE">
        <w:fldChar w:fldCharType="begin" w:fldLock="1"/>
      </w:r>
      <w:r>
        <w:instrText>ADDIN CSL_CITATION {"citationItems":[{"id":"ITEM-1","itemData":{"DOI":"https://doi.org/10.1108/IJCS-03-2021-0011","author":[{"dropping-particle":"","family":"Zhang","given":"Y","non-dropping-particle":"","parse-names":false,"suffix":""},{"dropping-particle":"","family":"Cui","given":"L.","non-dropping-particle":"","parse-names":false,"suffix":""},{"dropping-particle":"","family":"He","given":"W.","non-dropping-particle":"","parse-names":false,"suffix":""},{"dropping-particle":"","family":"Lu","given":"X.","non-dropping-particle":"","parse-names":false,"suffix":""},{"dropping-particle":"","family":"Wang","given":"S.","non-dropping-particle":"","parse-names":false,"suffix":""}],"container-title":"International Journal of Crowd Science","id":"ITEM-1","issue":"2","issued":{"date-parts":[["2021"]]},"page":"185-203","title":"Behavioral data assists decisions: exploring the mental representation of digital-self","type":"article-journal","volume":"5"},"uris":["http://www.mendeley.com/documents/?uuid=348a2358-cc02-4882-9dd4-de6c4df5bea9"]}],"mendeley":{"formattedCitation":"Y Zhang et al., “Behavioral Data Assists Decisions: Exploring the Mental Representation of Digital-Self,” &lt;i&gt;International Journal of Crowd Science&lt;/i&gt; 5, no. 2 (2021): 185–203.","plainTextFormattedCitation":"Y Zhang et al., “Behavioral Data Assists Decisions: Exploring the Mental Representation of Digital-Self,” International Journal of Crowd Science 5, no. 2 (2021): 185–203.","previouslyFormattedCitation":"Y Zhang et al., “Behavioral Data Assists Decisions: Exploring the Mental Representation of Digital-Self,” &lt;i&gt;International Journal of Crowd Science&lt;/i&gt; 5, no. 2 (2021): 185–203."},"properties":{"noteIndex":66},"schema":"https://github.com/citation-style-language/schema/raw/master/csl-citation.json"}</w:instrText>
      </w:r>
      <w:r w:rsidRPr="00F346CE">
        <w:fldChar w:fldCharType="separate"/>
      </w:r>
      <w:r w:rsidRPr="00F346CE">
        <w:rPr>
          <w:noProof/>
        </w:rPr>
        <w:t xml:space="preserve">Y Zhang et al., “Behavioral Data Assists Decisions: Exploring the Mental Representation of Digital-Self,” </w:t>
      </w:r>
      <w:r w:rsidRPr="00F346CE">
        <w:rPr>
          <w:i/>
          <w:noProof/>
        </w:rPr>
        <w:t>International Journal of Crowd Science</w:t>
      </w:r>
      <w:r w:rsidRPr="00F346CE">
        <w:rPr>
          <w:noProof/>
        </w:rPr>
        <w:t xml:space="preserve"> 5, no. 2 (2021): 185–203.</w:t>
      </w:r>
      <w:r w:rsidRPr="00F346CE">
        <w:fldChar w:fldCharType="end"/>
      </w:r>
    </w:p>
  </w:footnote>
  <w:footnote w:id="67">
    <w:p w14:paraId="50983A5F" w14:textId="77777777" w:rsidR="00EC504C" w:rsidRPr="003A7E9A" w:rsidRDefault="00EC504C" w:rsidP="00EC504C">
      <w:pPr>
        <w:pStyle w:val="FootnoteText"/>
        <w:ind w:firstLine="426"/>
        <w:rPr>
          <w:color w:val="000000" w:themeColor="text1"/>
        </w:rPr>
      </w:pPr>
      <w:r w:rsidRPr="009B498D">
        <w:rPr>
          <w:rStyle w:val="FootnoteReference"/>
          <w:rFonts w:eastAsiaTheme="minorEastAsia"/>
        </w:rPr>
        <w:footnoteRef/>
      </w:r>
      <w:r>
        <w:t xml:space="preserve"> </w:t>
      </w:r>
      <w:r w:rsidRPr="003A7E9A">
        <w:rPr>
          <w:color w:val="000000" w:themeColor="text1"/>
        </w:rPr>
        <w:fldChar w:fldCharType="begin" w:fldLock="1"/>
      </w:r>
      <w:r>
        <w:rPr>
          <w:color w:val="000000" w:themeColor="text1"/>
        </w:rPr>
        <w:instrText>ADDIN CSL_CITATION {"citationItems":[{"id":"ITEM-1","itemData":{"URL":"https://www.spiceworks.com/marketing/customer-data/articles/what-is-customer-data/","accessed":{"date-parts":[["2022","9","28"]]},"author":[{"dropping-particle":"","family":"Deshpande","given":"Indrajeet","non-dropping-particle":"","parse-names":false,"suffix":""}],"id":"ITEM-1","issued":{"date-parts":[["2021"]]},"page":"2","title":"What Is Customer Data? Definition, Types, Collection, Validation, and Analysis","type":"webpage"},"uris":["http://www.mendeley.com/documents/?uuid=5f1e1a5a-5469-4120-adb7-599549523b9c"]}],"mendeley":{"formattedCitation":"Deshpande, “What Is Customer Data? Definition, Types, Collection, Validation, and Analysis.”","plainTextFormattedCitation":"Deshpande, “What Is Customer Data? Definition, Types, Collection, Validation, and Analysis.”","previouslyFormattedCitation":"Deshpande, “What Is Customer Data? Definition, Types, Collection, Validation, and Analysis.”"},"properties":{"noteIndex":67},"schema":"https://github.com/citation-style-language/schema/raw/master/csl-citation.json"}</w:instrText>
      </w:r>
      <w:r w:rsidRPr="003A7E9A">
        <w:rPr>
          <w:color w:val="000000" w:themeColor="text1"/>
        </w:rPr>
        <w:fldChar w:fldCharType="separate"/>
      </w:r>
      <w:r w:rsidRPr="003A7E9A">
        <w:rPr>
          <w:noProof/>
          <w:color w:val="000000" w:themeColor="text1"/>
        </w:rPr>
        <w:t>Deshpande, “What Is Customer Data? Definition, Types, Collection, Validation, and Analysis.”</w:t>
      </w:r>
      <w:r w:rsidRPr="003A7E9A">
        <w:rPr>
          <w:color w:val="000000" w:themeColor="text1"/>
        </w:rPr>
        <w:fldChar w:fldCharType="end"/>
      </w:r>
    </w:p>
  </w:footnote>
  <w:footnote w:id="68">
    <w:p w14:paraId="7B04365C" w14:textId="77777777" w:rsidR="00EC504C" w:rsidRPr="00974FF1" w:rsidRDefault="00EC504C" w:rsidP="00EC504C">
      <w:pPr>
        <w:pStyle w:val="FootnoteText"/>
        <w:ind w:firstLine="426"/>
      </w:pPr>
      <w:r w:rsidRPr="009B498D">
        <w:rPr>
          <w:rStyle w:val="FootnoteReference"/>
          <w:rFonts w:eastAsiaTheme="minorEastAsia"/>
        </w:rPr>
        <w:footnoteRef/>
      </w:r>
      <w:r>
        <w:t xml:space="preserve"> </w:t>
      </w:r>
      <w:r w:rsidRPr="00974FF1">
        <w:fldChar w:fldCharType="begin" w:fldLock="1"/>
      </w:r>
      <w:r>
        <w:instrText>ADDIN CSL_CITATION {"citationItems":[{"id":"ITEM-1","itemData":{"author":[{"dropping-particle":"","family":"European Court of Human Rights","given":"","non-dropping-particle":"","parse-names":false,"suffix":""}],"id":"ITEM-1","issued":{"date-parts":[["1995"]]},"title":"Vereniging Weekblad Bluf! v. the Netherlands","type":"legal_case","volume":"Series A v"},"uris":["http://www.mendeley.com/documents/?uuid=855cd61a-55fa-4f36-8d87-63022ef50c60"]}],"mendeley":{"formattedCitation":"European Court of Human Rights, &lt;i&gt;Vereniging Weekblad Bluf! V. the Netherlands&lt;/i&gt;, Series A v (1995).","plainTextFormattedCitation":"European Court of Human Rights, Vereniging Weekblad Bluf! V. the Netherlands, Series A v (1995).","previouslyFormattedCitation":"European Court of Human Rights, &lt;i&gt;Vereniging Weekblad Bluf! V. the Netherlands&lt;/i&gt;, Series A v (1995)."},"properties":{"noteIndex":68},"schema":"https://github.com/citation-style-language/schema/raw/master/csl-citation.json"}</w:instrText>
      </w:r>
      <w:r w:rsidRPr="00974FF1">
        <w:fldChar w:fldCharType="separate"/>
      </w:r>
      <w:r w:rsidRPr="00974FF1">
        <w:rPr>
          <w:noProof/>
        </w:rPr>
        <w:t xml:space="preserve">European Court of Human Rights, </w:t>
      </w:r>
      <w:r w:rsidRPr="00974FF1">
        <w:rPr>
          <w:i/>
          <w:noProof/>
        </w:rPr>
        <w:t>Vereniging Weekblad Bluf! V. the Netherlands</w:t>
      </w:r>
      <w:r w:rsidRPr="00974FF1">
        <w:rPr>
          <w:noProof/>
        </w:rPr>
        <w:t>, Series A v (1995).</w:t>
      </w:r>
      <w:r w:rsidRPr="00974FF1">
        <w:fldChar w:fldCharType="end"/>
      </w:r>
    </w:p>
  </w:footnote>
  <w:footnote w:id="69">
    <w:p w14:paraId="6BA65E2E" w14:textId="77777777" w:rsidR="00EC504C" w:rsidRPr="00762E77" w:rsidRDefault="00EC504C" w:rsidP="00EC504C">
      <w:pPr>
        <w:pStyle w:val="FootnoteText"/>
        <w:ind w:firstLine="426"/>
      </w:pPr>
      <w:r w:rsidRPr="009B498D">
        <w:rPr>
          <w:rStyle w:val="FootnoteReference"/>
          <w:rFonts w:eastAsiaTheme="minorEastAsia"/>
        </w:rPr>
        <w:footnoteRef/>
      </w:r>
      <w:r>
        <w:t xml:space="preserve"> </w:t>
      </w:r>
      <w:r w:rsidRPr="00762E77">
        <w:fldChar w:fldCharType="begin" w:fldLock="1"/>
      </w:r>
      <w:r>
        <w:instrText>ADDIN CSL_CITATION {"citationItems":[{"id":"ITEM-1","itemData":{"author":[{"dropping-particle":"","family":"Robertson","given":"Geoffrey","non-dropping-particle":"","parse-names":false,"suffix":""},{"dropping-particle":"","family":"Nicol","given":"Andrew","non-dropping-particle":"","parse-names":false,"suffix":""}],"edition":"Fifth Edit","id":"ITEM-1","issued":{"date-parts":[["0"]]},"number-of-pages":"277","publisher":"Penguin Books","publisher-place":"London, UK","title":"Media Law","type":"book"},"uris":["http://www.mendeley.com/documents/?uuid=75380e11-f079-4913-985d-db753322ce0a"]}],"mendeley":{"formattedCitation":"Geoffrey Robertson and Andrew Nicol, &lt;i&gt;Media Law&lt;/i&gt;, Fifth Edit. (London, UK: Penguin Books, n.d.).","plainTextFormattedCitation":"Geoffrey Robertson and Andrew Nicol, Media Law, Fifth Edit. (London, UK: Penguin Books, n.d.).","previouslyFormattedCitation":"Geoffrey Robertson and Andrew Nicol, &lt;i&gt;Media Law&lt;/i&gt;, Fifth Edit. (London, UK: Penguin Books, n.d.)."},"properties":{"noteIndex":69},"schema":"https://github.com/citation-style-language/schema/raw/master/csl-citation.json"}</w:instrText>
      </w:r>
      <w:r w:rsidRPr="00762E77">
        <w:fldChar w:fldCharType="separate"/>
      </w:r>
      <w:r w:rsidRPr="00762E77">
        <w:rPr>
          <w:noProof/>
        </w:rPr>
        <w:t xml:space="preserve">Geoffrey Robertson and Andrew Nicol, </w:t>
      </w:r>
      <w:r w:rsidRPr="00762E77">
        <w:rPr>
          <w:i/>
          <w:noProof/>
        </w:rPr>
        <w:t>Media Law</w:t>
      </w:r>
      <w:r w:rsidRPr="00762E77">
        <w:rPr>
          <w:noProof/>
        </w:rPr>
        <w:t>, Fifth Edit. (London, UK: Penguin Books, n.d.).</w:t>
      </w:r>
      <w:r w:rsidRPr="00762E77">
        <w:fldChar w:fldCharType="end"/>
      </w:r>
    </w:p>
  </w:footnote>
  <w:footnote w:id="70">
    <w:p w14:paraId="6878072A" w14:textId="77777777" w:rsidR="00EC504C" w:rsidRPr="00762E77" w:rsidRDefault="00EC504C" w:rsidP="00EC504C">
      <w:pPr>
        <w:pStyle w:val="FootnoteText"/>
        <w:ind w:firstLine="426"/>
      </w:pPr>
      <w:r w:rsidRPr="009B498D">
        <w:rPr>
          <w:rStyle w:val="FootnoteReference"/>
          <w:rFonts w:eastAsiaTheme="minorEastAsia"/>
        </w:rPr>
        <w:footnoteRef/>
      </w:r>
      <w:r>
        <w:t xml:space="preserve"> </w:t>
      </w:r>
      <w:r>
        <w:fldChar w:fldCharType="begin" w:fldLock="1"/>
      </w:r>
      <w:r>
        <w:instrText>ADDIN CSL_CITATION {"citationItems":[{"id":"ITEM-1","itemData":{"author":[{"dropping-particle":"","family":"Robertson","given":"Geoffrey","non-dropping-particle":"","parse-names":false,"suffix":""},{"dropping-particle":"","family":"Nicol","given":"Andrew","non-dropping-particle":"","parse-names":false,"suffix":""}],"edition":"Fifth Edit","id":"ITEM-1","issued":{"date-parts":[["0"]]},"number-of-pages":"277","publisher":"Penguin Books","publisher-place":"London, UK","title":"Media Law","type":"book"},"uris":["http://www.mendeley.com/documents/?uuid=75380e11-f079-4913-985d-db753322ce0a"]}],"mendeley":{"formattedCitation":"Ibid.","plainTextFormattedCitation":"Ibid.","previouslyFormattedCitation":"Ibid."},"properties":{"noteIndex":70},"schema":"https://github.com/citation-style-language/schema/raw/master/csl-citation.json"}</w:instrText>
      </w:r>
      <w:r>
        <w:fldChar w:fldCharType="separate"/>
      </w:r>
      <w:r w:rsidRPr="00762E77">
        <w:rPr>
          <w:noProof/>
        </w:rPr>
        <w:t>Ibid.</w:t>
      </w:r>
      <w:r>
        <w:fldChar w:fldCharType="end"/>
      </w:r>
    </w:p>
  </w:footnote>
  <w:footnote w:id="71">
    <w:p w14:paraId="5FB7CB38" w14:textId="77777777" w:rsidR="00EC504C" w:rsidRPr="00AE1F4D" w:rsidRDefault="00EC504C" w:rsidP="00EC504C">
      <w:pPr>
        <w:pStyle w:val="FootnoteText"/>
        <w:ind w:firstLine="426"/>
      </w:pPr>
      <w:r w:rsidRPr="009B498D">
        <w:rPr>
          <w:rStyle w:val="FootnoteReference"/>
          <w:rFonts w:eastAsiaTheme="minorEastAsia"/>
        </w:rPr>
        <w:footnoteRef/>
      </w:r>
      <w:r>
        <w:t xml:space="preserve"> </w:t>
      </w:r>
      <w:r w:rsidRPr="00AE1F4D">
        <w:fldChar w:fldCharType="begin" w:fldLock="1"/>
      </w:r>
      <w:r>
        <w:instrText>ADDIN CSL_CITATION {"citationItems":[{"id":"ITEM-1","itemData":{"URL":"https://www.dw.com/en/indonesias-jakarta-hit-by-major-power-blackout/a-49884728","accessed":{"date-parts":[["2019","10","2"]]},"author":[{"dropping-particle":"","family":"Martin","given":"Nik","non-dropping-particle":"","parse-names":false,"suffix":""}],"id":"ITEM-1","issued":{"date-parts":[["2019"]]},"title":"Indonesia's Jakarta hit by major power blackout","type":"webpage"},"uris":["http://www.mendeley.com/documents/?uuid=e9a9bb5d-6b22-4232-9bf8-2b3615832d9f"]}],"mendeley":{"formattedCitation":"Nik Martin, “Indonesia’s Jakarta Hit by Major Power Blackout,” last modified 2019, accessed October 2, 2019, https://www.dw.com/en/indonesias-jakarta-hit-by-major-power-blackout/a-49884728.","plainTextFormattedCitation":"Nik Martin, “Indonesia’s Jakarta Hit by Major Power Blackout,” last modified 2019, accessed October 2, 2019, https://www.dw.com/en/indonesias-jakarta-hit-by-major-power-blackout/a-49884728.","previouslyFormattedCitation":"Nik Martin, “Indonesia’s Jakarta Hit by Major Power Blackout,” last modified 2019, accessed October 2, 2019, https://www.dw.com/en/indonesias-jakarta-hit-by-major-power-blackout/a-49884728."},"properties":{"noteIndex":71},"schema":"https://github.com/citation-style-language/schema/raw/master/csl-citation.json"}</w:instrText>
      </w:r>
      <w:r w:rsidRPr="00AE1F4D">
        <w:fldChar w:fldCharType="separate"/>
      </w:r>
      <w:r w:rsidRPr="00AE1F4D">
        <w:rPr>
          <w:noProof/>
        </w:rPr>
        <w:t>Nik Martin, “Indonesia’s Jakarta Hit by Major Power Blackout,” last modified 2019, accessed October 2, 2019, https://www.dw.com/en/indonesias-jakarta-hit-by-major-power-blackout/a-49884728.</w:t>
      </w:r>
      <w:r w:rsidRPr="00AE1F4D">
        <w:fldChar w:fldCharType="end"/>
      </w:r>
    </w:p>
  </w:footnote>
  <w:footnote w:id="72">
    <w:p w14:paraId="28FC11F1" w14:textId="77777777" w:rsidR="00EC504C" w:rsidRPr="0067418F" w:rsidRDefault="00EC504C" w:rsidP="00EC504C">
      <w:pPr>
        <w:pStyle w:val="FootnoteText"/>
        <w:ind w:firstLine="426"/>
      </w:pPr>
      <w:r w:rsidRPr="009B498D">
        <w:rPr>
          <w:rStyle w:val="FootnoteReference"/>
          <w:rFonts w:eastAsiaTheme="minorEastAsia"/>
        </w:rPr>
        <w:footnoteRef/>
      </w:r>
      <w:r>
        <w:t xml:space="preserve"> </w:t>
      </w:r>
      <w:r w:rsidRPr="0067418F">
        <w:fldChar w:fldCharType="begin" w:fldLock="1"/>
      </w:r>
      <w:r>
        <w:instrText>ADDIN CSL_CITATION {"citationItems":[{"id":"ITEM-1","itemData":{"URL":"https://news.detik.com/berita/d-4588549/jual-database-nasabah-perbankan-warga-tangsel-dibui-9-bulan","accessed":{"date-parts":[["2022","10","2"]]},"author":[{"dropping-particle":"","family":"Saputra","given":"Andi","non-dropping-particle":"","parse-names":false,"suffix":""}],"container-title":"Detik News","id":"ITEM-1","issued":{"date-parts":[["2019"]]},"title":"Jual Database Nasabah Perbankan, Warga Tangsel Dibui 9 Bulan","type":"webpage"},"uris":["http://www.mendeley.com/documents/?uuid=fc78caf7-9bdf-43f6-8672-b8b652ab5d14"]}],"mendeley":{"formattedCitation":"Andi Saputra, “Jual Database Nasabah Perbankan, Warga Tangsel Dibui 9 Bulan,” &lt;i&gt;Detik News&lt;/i&gt;, last modified 2019, accessed October 2, 2022, https://news.detik.com/berita/d-4588549/jual-database-nasabah-perbankan-warga-tangsel-dibui-9-bulan.","plainTextFormattedCitation":"Andi Saputra, “Jual Database Nasabah Perbankan, Warga Tangsel Dibui 9 Bulan,” Detik News, last modified 2019, accessed October 2, 2022, https://news.detik.com/berita/d-4588549/jual-database-nasabah-perbankan-warga-tangsel-dibui-9-bulan.","previouslyFormattedCitation":"Andi Saputra, “Jual Database Nasabah Perbankan, Warga Tangsel Dibui 9 Bulan,” &lt;i&gt;Detik News&lt;/i&gt;, last modified 2019, accessed October 2, 2022, https://news.detik.com/berita/d-4588549/jual-database-nasabah-perbankan-warga-tangsel-dibui-9-bulan."},"properties":{"noteIndex":72},"schema":"https://github.com/citation-style-language/schema/raw/master/csl-citation.json"}</w:instrText>
      </w:r>
      <w:r w:rsidRPr="0067418F">
        <w:fldChar w:fldCharType="separate"/>
      </w:r>
      <w:r w:rsidRPr="0067418F">
        <w:rPr>
          <w:noProof/>
        </w:rPr>
        <w:t xml:space="preserve">Andi Saputra, “Jual Database Nasabah Perbankan, Warga Tangsel Dibui 9 Bulan,” </w:t>
      </w:r>
      <w:r w:rsidRPr="0067418F">
        <w:rPr>
          <w:i/>
          <w:noProof/>
        </w:rPr>
        <w:t>Detik News</w:t>
      </w:r>
      <w:r w:rsidRPr="0067418F">
        <w:rPr>
          <w:noProof/>
        </w:rPr>
        <w:t>, last modified 2019, accessed October 2, 2022, https://news.detik.com/berita/d-4588549/jual-database-nasabah-perbankan-warga-tangsel-dibui-9-bulan.</w:t>
      </w:r>
      <w:r w:rsidRPr="0067418F">
        <w:fldChar w:fldCharType="end"/>
      </w:r>
    </w:p>
  </w:footnote>
  <w:footnote w:id="73">
    <w:p w14:paraId="694901EC" w14:textId="77777777" w:rsidR="00EC504C" w:rsidRPr="00490863" w:rsidRDefault="00EC504C" w:rsidP="00EC504C">
      <w:pPr>
        <w:pStyle w:val="FootnoteText"/>
        <w:ind w:firstLine="426"/>
      </w:pPr>
      <w:r w:rsidRPr="009B498D">
        <w:rPr>
          <w:rStyle w:val="FootnoteReference"/>
          <w:rFonts w:eastAsiaTheme="minorEastAsia"/>
        </w:rPr>
        <w:footnoteRef/>
      </w:r>
      <w:r>
        <w:t xml:space="preserve"> </w:t>
      </w:r>
      <w:r w:rsidRPr="00490863">
        <w:fldChar w:fldCharType="begin" w:fldLock="1"/>
      </w:r>
      <w:r>
        <w:instrText>ADDIN CSL_CITATION {"citationItems":[{"id":"ITEM-1","itemData":{"id":"ITEM-1","issued":{"date-parts":[["0"]]},"title":"The Law Number 19 of 2016 concerning Amendments to Law Number 11 of 2008 on Information and Electronic Transactions","type":"legislation"},"uris":["http://www.mendeley.com/documents/?uuid=3fd3a0d1-df6f-4303-a2c9-5c9d247a01eb"]}],"mendeley":{"formattedCitation":"&lt;i&gt;The Law Number 19 of 2016 Concerning Amendments to Law Number 11 of 2008 on Information and Electronic Transactions&lt;/i&gt;.","plainTextFormattedCitation":"The Law Number 19 of 2016 Concerning Amendments to Law Number 11 of 2008 on Information and Electronic Transactions.","previouslyFormattedCitation":"&lt;i&gt;The Law Number 19 of 2016 Concerning Amendments to Law Number 11 of 2008 on Information and Electronic Transactions&lt;/i&gt;."},"properties":{"noteIndex":73},"schema":"https://github.com/citation-style-language/schema/raw/master/csl-citation.json"}</w:instrText>
      </w:r>
      <w:r w:rsidRPr="00490863">
        <w:fldChar w:fldCharType="separate"/>
      </w:r>
      <w:r w:rsidRPr="00490863">
        <w:rPr>
          <w:i/>
          <w:noProof/>
        </w:rPr>
        <w:t>The Law Number 19 of 2016 Concerning Amendments to Law Number 11 of 2008 on Information and Electronic Transactions</w:t>
      </w:r>
      <w:r w:rsidRPr="00490863">
        <w:rPr>
          <w:noProof/>
        </w:rPr>
        <w:t>.</w:t>
      </w:r>
      <w:r w:rsidRPr="00490863">
        <w:fldChar w:fldCharType="end"/>
      </w:r>
    </w:p>
  </w:footnote>
  <w:footnote w:id="74">
    <w:p w14:paraId="30DB9D7E" w14:textId="77777777" w:rsidR="00EC504C" w:rsidRPr="006835AC" w:rsidRDefault="00EC504C" w:rsidP="00EC504C">
      <w:pPr>
        <w:pStyle w:val="FootnoteText"/>
        <w:ind w:firstLine="426"/>
      </w:pPr>
      <w:r w:rsidRPr="009B498D">
        <w:rPr>
          <w:rStyle w:val="FootnoteReference"/>
          <w:rFonts w:eastAsiaTheme="minorEastAsia"/>
        </w:rPr>
        <w:footnoteRef/>
      </w:r>
      <w:r>
        <w:t xml:space="preserve"> </w:t>
      </w:r>
      <w:r w:rsidRPr="006835AC">
        <w:fldChar w:fldCharType="begin" w:fldLock="1"/>
      </w:r>
      <w:r>
        <w:instrText>ADDIN CSL_CITATION {"citationItems":[{"id":"ITEM-1","itemData":{"author":[{"dropping-particle":"","family":"Peretti","given":"K. K.","non-dropping-particle":"","parse-names":false,"suffix":""}],"container-title":"Santa Clara Computer &amp; High Tech","id":"ITEM-1","issue":"2","issued":{"date-parts":[["2008"]]},"page":"375–413","title":"Data breaches: What the underground world of carding reveals","type":"article-journal","volume":"25"},"uris":["http://www.mendeley.com/documents/?uuid=c14f6fb7-fdd8-4819-b574-34b934958822","http://www.mendeley.com/documents/?uuid=1204913a-c081-41da-877b-ee0ffbed740f"]}],"mendeley":{"formattedCitation":"K. K. Peretti, “Data Breaches: What the Underground World of Carding Reveals,” &lt;i&gt;Santa Clara Computer &amp; High Tech&lt;/i&gt; 25, no. 2 (2008): 375–413.","plainTextFormattedCitation":"K. K. Peretti, “Data Breaches: What the Underground World of Carding Reveals,” Santa Clara Computer &amp; High Tech 25, no. 2 (2008): 375–413.","previouslyFormattedCitation":"K. K. Peretti, “Data Breaches: What the Underground World of Carding Reveals,” &lt;i&gt;Santa Clara Computer &amp; High Tech&lt;/i&gt; 25, no. 2 (2008): 375–413."},"properties":{"noteIndex":74},"schema":"https://github.com/citation-style-language/schema/raw/master/csl-citation.json"}</w:instrText>
      </w:r>
      <w:r w:rsidRPr="006835AC">
        <w:fldChar w:fldCharType="separate"/>
      </w:r>
      <w:r w:rsidRPr="006835AC">
        <w:rPr>
          <w:noProof/>
        </w:rPr>
        <w:t xml:space="preserve">K. K. Peretti, “Data Breaches: What the Underground World of Carding Reveals,” </w:t>
      </w:r>
      <w:r w:rsidRPr="006835AC">
        <w:rPr>
          <w:i/>
          <w:noProof/>
        </w:rPr>
        <w:t>Santa Clara Computer &amp; High Tech</w:t>
      </w:r>
      <w:r w:rsidRPr="006835AC">
        <w:rPr>
          <w:noProof/>
        </w:rPr>
        <w:t xml:space="preserve"> 25, no. 2 (2008): 375–413.</w:t>
      </w:r>
      <w:r w:rsidRPr="006835AC">
        <w:fldChar w:fldCharType="end"/>
      </w:r>
    </w:p>
  </w:footnote>
  <w:footnote w:id="75">
    <w:p w14:paraId="7435ADAE" w14:textId="77777777" w:rsidR="00EC504C" w:rsidRPr="006835AC" w:rsidRDefault="00EC504C" w:rsidP="00EC504C">
      <w:pPr>
        <w:pStyle w:val="FootnoteText"/>
        <w:ind w:firstLine="426"/>
      </w:pPr>
      <w:r w:rsidRPr="009B498D">
        <w:rPr>
          <w:rStyle w:val="FootnoteReference"/>
          <w:rFonts w:eastAsiaTheme="minorEastAsia"/>
        </w:rPr>
        <w:footnoteRef/>
      </w:r>
      <w:r w:rsidRPr="006835AC">
        <w:t xml:space="preserve"> </w:t>
      </w:r>
      <w:r w:rsidRPr="006835AC">
        <w:fldChar w:fldCharType="begin" w:fldLock="1"/>
      </w:r>
      <w:r>
        <w:instrText>ADDIN CSL_CITATION {"citationItems":[{"id":"ITEM-1","itemData":{"DOI":"10.6084/m9.figshare.1284635","author":[{"dropping-particle":"","family":"Koyame-Marsh","given":"Rita O.","non-dropping-particle":"","parse-names":false,"suffix":""},{"dropping-particle":"","family":"Marsh","given":"John L.","non-dropping-particle":"","parse-names":false,"suffix":""}],"container-title":"IOSR Journal of Economics and Finance (IOSR-JEF)","id":"ITEM-1","issue":"6","issued":{"date-parts":[["2014"]]},"page":"36-45","title":"Data Breaches and Identity Theft: Costs and Responses","type":"article-journal","volume":"5"},"uris":["http://www.mendeley.com/documents/?uuid=d6fa7f00-7762-4d95-8d0a-3cf6cd0572b2","http://www.mendeley.com/documents/?uuid=ea85786c-29f4-4157-b505-aaba24772671"]}],"mendeley":{"formattedCitation":"Rita O. Koyame-Marsh and John L. Marsh, “Data Breaches and Identity Theft: Costs and Responses,” &lt;i&gt;IOSR Journal of Economics and Finance (IOSR-JEF)&lt;/i&gt; 5, no. 6 (2014): 36–45.","plainTextFormattedCitation":"Rita O. Koyame-Marsh and John L. Marsh, “Data Breaches and Identity Theft: Costs and Responses,” IOSR Journal of Economics and Finance (IOSR-JEF) 5, no. 6 (2014): 36–45.","previouslyFormattedCitation":"Rita O. Koyame-Marsh and John L. Marsh, “Data Breaches and Identity Theft: Costs and Responses,” &lt;i&gt;IOSR Journal of Economics and Finance (IOSR-JEF)&lt;/i&gt; 5, no. 6 (2014): 36–45."},"properties":{"noteIndex":75},"schema":"https://github.com/citation-style-language/schema/raw/master/csl-citation.json"}</w:instrText>
      </w:r>
      <w:r w:rsidRPr="006835AC">
        <w:fldChar w:fldCharType="separate"/>
      </w:r>
      <w:r w:rsidRPr="009C5098">
        <w:rPr>
          <w:noProof/>
        </w:rPr>
        <w:t xml:space="preserve">Rita O. Koyame-Marsh and John L. Marsh, “Data Breaches and Identity Theft: Costs and Responses,” </w:t>
      </w:r>
      <w:r w:rsidRPr="009C5098">
        <w:rPr>
          <w:i/>
          <w:noProof/>
        </w:rPr>
        <w:t>IOSR Journal of Economics and Finance (IOSR-JEF)</w:t>
      </w:r>
      <w:r w:rsidRPr="009C5098">
        <w:rPr>
          <w:noProof/>
        </w:rPr>
        <w:t xml:space="preserve"> 5, no. 6 (2014): 36–45.</w:t>
      </w:r>
      <w:r w:rsidRPr="006835AC">
        <w:fldChar w:fldCharType="end"/>
      </w:r>
    </w:p>
  </w:footnote>
  <w:footnote w:id="76">
    <w:p w14:paraId="4A54F448" w14:textId="77777777" w:rsidR="00EC504C" w:rsidRPr="006835AC" w:rsidRDefault="00EC504C" w:rsidP="00EC504C">
      <w:pPr>
        <w:pStyle w:val="FootnoteText"/>
        <w:ind w:firstLine="426"/>
      </w:pPr>
      <w:r w:rsidRPr="009B498D">
        <w:rPr>
          <w:rStyle w:val="FootnoteReference"/>
          <w:rFonts w:eastAsiaTheme="minorEastAsia"/>
        </w:rPr>
        <w:footnoteRef/>
      </w:r>
      <w:r w:rsidRPr="006835AC">
        <w:t xml:space="preserve"> </w:t>
      </w:r>
      <w:r w:rsidRPr="006835AC">
        <w:fldChar w:fldCharType="begin" w:fldLock="1"/>
      </w:r>
      <w:r>
        <w:instrText>ADDIN CSL_CITATION {"citationItems":[{"id":"ITEM-1","itemData":{"DOI":"10.7202/1071508ar","author":[{"dropping-particle":"","family":"Shankar, Nithya Mohammed","given":"Zareef","non-dropping-particle":"","parse-names":false,"suffix":""}],"container-title":"Journal of Comparative International Management","id":"ITEM-1","issue":"1","issued":{"date-parts":[["2020"]]},"page":"35–54","title":"Surviving Data Breaches: A Multiple Case Study Analysis","type":"article-journal","volume":"23"},"uris":["http://www.mendeley.com/documents/?uuid=e934d93f-550a-49f1-910c-c992b350f0af","http://www.mendeley.com/documents/?uuid=22db8c74-55f6-4216-81cc-2301b66c7dea"]}],"mendeley":{"formattedCitation":"Zareef Shankar, Nithya Mohammed, “Surviving Data Breaches: A Multiple Case Study Analysis,” &lt;i&gt;Journal of Comparative International Management&lt;/i&gt; 23, no. 1 (2020): 35–54.","plainTextFormattedCitation":"Zareef Shankar, Nithya Mohammed, “Surviving Data Breaches: A Multiple Case Study Analysis,” Journal of Comparative International Management 23, no. 1 (2020): 35–54.","previouslyFormattedCitation":"Zareef Shankar, Nithya Mohammed, “Surviving Data Breaches: A Multiple Case Study Analysis,” &lt;i&gt;Journal of Comparative International Management&lt;/i&gt; 23, no. 1 (2020): 35–54."},"properties":{"noteIndex":76},"schema":"https://github.com/citation-style-language/schema/raw/master/csl-citation.json"}</w:instrText>
      </w:r>
      <w:r w:rsidRPr="006835AC">
        <w:fldChar w:fldCharType="separate"/>
      </w:r>
      <w:r w:rsidRPr="006835AC">
        <w:rPr>
          <w:noProof/>
        </w:rPr>
        <w:t xml:space="preserve">Zareef Shankar, Nithya Mohammed, “Surviving Data Breaches: A Multiple Case Study Analysis,” </w:t>
      </w:r>
      <w:r w:rsidRPr="006835AC">
        <w:rPr>
          <w:i/>
          <w:noProof/>
        </w:rPr>
        <w:t>Journal of Comparative International Management</w:t>
      </w:r>
      <w:r w:rsidRPr="006835AC">
        <w:rPr>
          <w:noProof/>
        </w:rPr>
        <w:t xml:space="preserve"> 23, no. 1 (2020): 35–54.</w:t>
      </w:r>
      <w:r w:rsidRPr="006835AC">
        <w:fldChar w:fldCharType="end"/>
      </w:r>
    </w:p>
  </w:footnote>
  <w:footnote w:id="77">
    <w:p w14:paraId="382C429A" w14:textId="77777777" w:rsidR="00EC504C" w:rsidRPr="006835AC" w:rsidRDefault="00EC504C" w:rsidP="00EC504C">
      <w:pPr>
        <w:pStyle w:val="FootnoteText"/>
        <w:ind w:firstLine="426"/>
      </w:pPr>
      <w:r w:rsidRPr="009B498D">
        <w:rPr>
          <w:rStyle w:val="FootnoteReference"/>
          <w:rFonts w:eastAsiaTheme="minorEastAsia"/>
        </w:rPr>
        <w:footnoteRef/>
      </w:r>
      <w:r w:rsidRPr="006835AC">
        <w:t xml:space="preserve"> </w:t>
      </w:r>
      <w:r w:rsidRPr="006835AC">
        <w:fldChar w:fldCharType="begin" w:fldLock="1"/>
      </w:r>
      <w:r>
        <w:instrText>ADDIN CSL_CITATION {"citationItems":[{"id":"ITEM-1","itemData":{"author":[{"dropping-particle":"","family":"Culnan, M. J.","given":"","non-dropping-particle":"","parse-names":false,"suffix":""},{"dropping-particle":"","family":"Williams","given":"C. C.","non-dropping-particle":"","parse-names":false,"suffix":""}],"container-title":"MIS Quarterly","id":"ITEM-1","issue":"4","issued":{"date-parts":[["2009"]]},"page":"673–687.","title":"How ethics can enhance organizational privacy: Lessons from the Choicepoint and TJX data breaches","type":"article-journal","volume":"33"},"uris":["http://www.mendeley.com/documents/?uuid=2462a76d-260f-4986-a970-60757aa25e4d","http://www.mendeley.com/documents/?uuid=928ffbef-d937-4fdf-aae6-5d0b5ad172f3"]}],"mendeley":{"formattedCitation":"Culnan, M. J. and C. C. Williams, “How Ethics Can Enhance Organizational Privacy: Lessons from the Choicepoint and TJX Data Breaches,” &lt;i&gt;MIS Quarterly&lt;/i&gt; 33, no. 4 (2009): 673–687.","plainTextFormattedCitation":"Culnan, M. J. and C. C. Williams, “How Ethics Can Enhance Organizational Privacy: Lessons from the Choicepoint and TJX Data Breaches,” MIS Quarterly 33, no. 4 (2009): 673–687.","previouslyFormattedCitation":"Culnan, M. J. and C. C. Williams, “How Ethics Can Enhance Organizational Privacy: Lessons from the Choicepoint and TJX Data Breaches,” &lt;i&gt;MIS Quarterly&lt;/i&gt; 33, no. 4 (2009): 673–687."},"properties":{"noteIndex":77},"schema":"https://github.com/citation-style-language/schema/raw/master/csl-citation.json"}</w:instrText>
      </w:r>
      <w:r w:rsidRPr="006835AC">
        <w:fldChar w:fldCharType="separate"/>
      </w:r>
      <w:r w:rsidRPr="006835AC">
        <w:rPr>
          <w:noProof/>
        </w:rPr>
        <w:t xml:space="preserve">Culnan, M. J. and C. C. Williams, “How Ethics Can Enhance Organizational Privacy: Lessons from the Choicepoint and TJX Data Breaches,” </w:t>
      </w:r>
      <w:r w:rsidRPr="006835AC">
        <w:rPr>
          <w:i/>
          <w:noProof/>
        </w:rPr>
        <w:t>MIS Quarterly</w:t>
      </w:r>
      <w:r w:rsidRPr="006835AC">
        <w:rPr>
          <w:noProof/>
        </w:rPr>
        <w:t xml:space="preserve"> 33, no. 4 (2009): 673–687.</w:t>
      </w:r>
      <w:r w:rsidRPr="006835AC">
        <w:fldChar w:fldCharType="end"/>
      </w:r>
    </w:p>
  </w:footnote>
  <w:footnote w:id="78">
    <w:p w14:paraId="1503DC9F" w14:textId="77777777" w:rsidR="00EC504C" w:rsidRPr="00CD1A5D" w:rsidRDefault="00EC504C" w:rsidP="00EC504C">
      <w:pPr>
        <w:pStyle w:val="FootnoteText"/>
        <w:ind w:firstLine="426"/>
      </w:pPr>
      <w:r w:rsidRPr="009B498D">
        <w:rPr>
          <w:rStyle w:val="FootnoteReference"/>
          <w:rFonts w:eastAsiaTheme="minorEastAsia"/>
        </w:rPr>
        <w:footnoteRef/>
      </w:r>
      <w:r>
        <w:t xml:space="preserve"> </w:t>
      </w:r>
      <w:r w:rsidRPr="00CD1A5D">
        <w:fldChar w:fldCharType="begin" w:fldLock="1"/>
      </w:r>
      <w:r>
        <w:instrText>ADDIN CSL_CITATION {"citationItems":[{"id":"ITEM-1","itemData":{"URL":"https://lifelock.norton.com/learn/data-breaches/company-data-breach","accessed":{"date-parts":[["2022","10","4"]]},"author":[{"dropping-particle":"","family":"White","given":"Jamie","non-dropping-particle":"","parse-names":false,"suffix":""}],"container-title":"2021","id":"ITEM-1","issued":{"date-parts":[["2021"]]},"title":"Yahoo Announces 500 Million Users Impacted by Data Breach","type":"webpage"},"uris":["http://www.mendeley.com/documents/?uuid=cc28715d-8624-4524-a391-6d4a400feb1e","http://www.mendeley.com/documents/?uuid=f587f7d3-0642-495b-ade0-8722e1552857"]}],"mendeley":{"formattedCitation":"Jamie White, “Yahoo Announces 500 Million Users Impacted by Data Breach,” &lt;i&gt;2021&lt;/i&gt;, last modified 2021, accessed October 4, 2022, https://lifelock.norton.com/learn/data-breaches/company-data-breach.","plainTextFormattedCitation":"Jamie White, “Yahoo Announces 500 Million Users Impacted by Data Breach,” 2021, last modified 2021, accessed October 4, 2022, https://lifelock.norton.com/learn/data-breaches/company-data-breach.","previouslyFormattedCitation":"Jamie White, “Yahoo Announces 500 Million Users Impacted by Data Breach,” &lt;i&gt;2021&lt;/i&gt;, last modified 2021, accessed October 4, 2022, https://lifelock.norton.com/learn/data-breaches/company-data-breach."},"properties":{"noteIndex":78},"schema":"https://github.com/citation-style-language/schema/raw/master/csl-citation.json"}</w:instrText>
      </w:r>
      <w:r w:rsidRPr="00CD1A5D">
        <w:fldChar w:fldCharType="separate"/>
      </w:r>
      <w:r w:rsidRPr="005D6F7A">
        <w:rPr>
          <w:noProof/>
        </w:rPr>
        <w:t xml:space="preserve">Jamie White, “Yahoo Announces 500 Million Users Impacted by Data Breach,” </w:t>
      </w:r>
      <w:r w:rsidRPr="005D6F7A">
        <w:rPr>
          <w:i/>
          <w:noProof/>
        </w:rPr>
        <w:t>2021</w:t>
      </w:r>
      <w:r w:rsidRPr="005D6F7A">
        <w:rPr>
          <w:noProof/>
        </w:rPr>
        <w:t>, last modified 2021, accessed October 4, 2022, https://lifelock.norton.com/learn/data-breaches/company-data-breach.</w:t>
      </w:r>
      <w:r w:rsidRPr="00CD1A5D">
        <w:fldChar w:fldCharType="end"/>
      </w:r>
    </w:p>
  </w:footnote>
  <w:footnote w:id="79">
    <w:p w14:paraId="50338EF6" w14:textId="77777777" w:rsidR="00EC504C" w:rsidRPr="009A363A" w:rsidRDefault="00EC504C" w:rsidP="00EC504C">
      <w:pPr>
        <w:pStyle w:val="FootnoteText"/>
        <w:ind w:firstLine="426"/>
      </w:pPr>
      <w:r w:rsidRPr="009B498D">
        <w:rPr>
          <w:rStyle w:val="FootnoteReference"/>
          <w:rFonts w:eastAsiaTheme="minorEastAsia"/>
        </w:rPr>
        <w:footnoteRef/>
      </w:r>
      <w:r>
        <w:t xml:space="preserve"> </w:t>
      </w:r>
      <w:r w:rsidRPr="009A363A">
        <w:fldChar w:fldCharType="begin" w:fldLock="1"/>
      </w:r>
      <w:r>
        <w:instrText>ADDIN CSL_CITATION {"citationItems":[{"id":"ITEM-1","itemData":{"author":[{"dropping-particle":"","family":"Trautman","given":"L. J.","non-dropping-particle":"","parse-names":false,"suffix":""},{"dropping-particle":"","family":"Ormerod","given":"P","non-dropping-particle":"","parse-names":false,"suffix":""}],"container-title":"American University Law Review","id":"ITEM-1","issued":{"date-parts":[["2017"]]},"page":"1231–1291","title":"Corporate directors’ and officers’ cybersecurity standard of care: The Yahoo data breach","type":"article-journal","volume":"66"},"uris":["http://www.mendeley.com/documents/?uuid=991bef0f-79ab-4dae-b585-71e8d5d577e6","http://www.mendeley.com/documents/?uuid=d2f2f49b-0aa9-43c2-95a1-f1b6b153e809"]}],"mendeley":{"formattedCitation":"L. J. Trautman and P Ormerod, “Corporate Directors’ and Officers’ Cybersecurity Standard of Care: The Yahoo Data Breach,” &lt;i&gt;American University Law Review&lt;/i&gt; 66 (2017): 1231–1291.","plainTextFormattedCitation":"L. J. Trautman and P Ormerod, “Corporate Directors’ and Officers’ Cybersecurity Standard of Care: The Yahoo Data Breach,” American University Law Review 66 (2017): 1231–1291.","previouslyFormattedCitation":"L. J. Trautman and P Ormerod, “Corporate Directors’ and Officers’ Cybersecurity Standard of Care: The Yahoo Data Breach,” &lt;i&gt;American University Law Review&lt;/i&gt; 66 (2017): 1231–1291."},"properties":{"noteIndex":79},"schema":"https://github.com/citation-style-language/schema/raw/master/csl-citation.json"}</w:instrText>
      </w:r>
      <w:r w:rsidRPr="009A363A">
        <w:fldChar w:fldCharType="separate"/>
      </w:r>
      <w:r w:rsidRPr="009A363A">
        <w:rPr>
          <w:noProof/>
        </w:rPr>
        <w:t xml:space="preserve">L. J. Trautman and P Ormerod, “Corporate Directors’ and Officers’ Cybersecurity Standard of Care: The Yahoo Data Breach,” </w:t>
      </w:r>
      <w:r w:rsidRPr="009A363A">
        <w:rPr>
          <w:i/>
          <w:noProof/>
        </w:rPr>
        <w:t>American University Law Review</w:t>
      </w:r>
      <w:r w:rsidRPr="009A363A">
        <w:rPr>
          <w:noProof/>
        </w:rPr>
        <w:t xml:space="preserve"> 66 (2017): 1231–1291.</w:t>
      </w:r>
      <w:r w:rsidRPr="009A363A">
        <w:fldChar w:fldCharType="end"/>
      </w:r>
    </w:p>
  </w:footnote>
  <w:footnote w:id="80">
    <w:p w14:paraId="65004CFB" w14:textId="77777777" w:rsidR="00EC504C" w:rsidRPr="00475B9D" w:rsidRDefault="00EC504C" w:rsidP="00EC504C">
      <w:pPr>
        <w:pStyle w:val="FootnoteText"/>
        <w:ind w:firstLine="426"/>
      </w:pPr>
      <w:r w:rsidRPr="009B498D">
        <w:rPr>
          <w:rStyle w:val="FootnoteReference"/>
          <w:rFonts w:eastAsiaTheme="minorEastAsia"/>
        </w:rPr>
        <w:footnoteRef/>
      </w:r>
      <w:r>
        <w:t xml:space="preserve"> </w:t>
      </w:r>
      <w:r w:rsidRPr="00475B9D">
        <w:fldChar w:fldCharType="begin" w:fldLock="1"/>
      </w:r>
      <w:r>
        <w:instrText>ADDIN CSL_CITATION {"citationItems":[{"id":"ITEM-1","itemData":{"URL":"https://www.verizon.com/business/resources/reports/dbir/","accessed":{"date-parts":[["2022","10","4"]]},"author":[{"dropping-particle":"","family":"verizon.com","given":"","non-dropping-particle":"","parse-names":false,"suffix":""}],"id":"ITEM-1","issued":{"date-parts":[["2022"]]},"title":"2022 Data Breach Investigations Report","type":"webpage"},"uris":["http://www.mendeley.com/documents/?uuid=96202723-1b88-4ff4-b90d-94684a75b550","http://www.mendeley.com/documents/?uuid=46b4cc22-620e-400a-afb1-8610851feb9a"]}],"mendeley":{"formattedCitation":"verizon.com, “2022 Data Breach Investigations Report,” last modified 2022, accessed October 4, 2022, https://www.verizon.com/business/resources/reports/dbir/.","plainTextFormattedCitation":"verizon.com, “2022 Data Breach Investigations Report,” last modified 2022, accessed October 4, 2022, https://www.verizon.com/business/resources/reports/dbir/.","previouslyFormattedCitation":"verizon.com, “2022 Data Breach Investigations Report,” last modified 2022, accessed October 4, 2022, https://www.verizon.com/business/resources/reports/dbir/."},"properties":{"noteIndex":80},"schema":"https://github.com/citation-style-language/schema/raw/master/csl-citation.json"}</w:instrText>
      </w:r>
      <w:r w:rsidRPr="00475B9D">
        <w:fldChar w:fldCharType="separate"/>
      </w:r>
      <w:r w:rsidRPr="009C5098">
        <w:rPr>
          <w:noProof/>
        </w:rPr>
        <w:t>verizon.com, “2022 Data Breach Investigations Report,” last modified 2022, accessed October 4, 2022, https://www.verizon.com/business/resources/reports/dbir/.</w:t>
      </w:r>
      <w:r w:rsidRPr="00475B9D">
        <w:fldChar w:fldCharType="end"/>
      </w:r>
    </w:p>
  </w:footnote>
  <w:footnote w:id="81">
    <w:p w14:paraId="57961C50" w14:textId="77777777" w:rsidR="00EC504C" w:rsidRPr="00475B9D" w:rsidRDefault="00EC504C" w:rsidP="00EC504C">
      <w:pPr>
        <w:pStyle w:val="FootnoteText"/>
        <w:ind w:firstLine="426"/>
      </w:pPr>
      <w:r w:rsidRPr="009B498D">
        <w:rPr>
          <w:rStyle w:val="FootnoteReference"/>
          <w:rFonts w:eastAsiaTheme="minorEastAsia"/>
        </w:rPr>
        <w:footnoteRef/>
      </w:r>
      <w:r>
        <w:t xml:space="preserve"> </w:t>
      </w:r>
      <w:r w:rsidRPr="00475B9D">
        <w:fldChar w:fldCharType="begin" w:fldLock="1"/>
      </w:r>
      <w:r>
        <w:instrText>ADDIN CSL_CITATION {"citationItems":[{"id":"ITEM-1","itemData":{"URL":"https://www.grcelearning.com/blog/human-error-is-responsible-for-85-of-data-breaches#:~:text=According to Verizon's 2022 Data,to access the organisation's systems.","accessed":{"date-parts":[["2022","10","4"]]},"author":[{"dropping-particle":"","family":"Irwin","given":"Luke","non-dropping-particle":"","parse-names":false,"suffix":""}],"id":"ITEM-1","issued":{"date-parts":[["2022"]]},"title":"Human Error is Responsible for 82% of Data Breaches","type":"webpage"},"uris":["http://www.mendeley.com/documents/?uuid=7b56f1f0-9bc4-441f-94bd-bf4e40ae0b4d"]}],"mendeley":{"formattedCitation":"Luke Irwin, “Human Error Is Responsible for 82% of Data Breaches,” last modified 2022, accessed October 4, 2022, https://www.grcelearning.com/blog/human-error-is-responsible-for-85-of-data-breaches#:~:text=According to Verizon’s 2022 Data,to access the organisation’s systems.","plainTextFormattedCitation":"Luke Irwin, “Human Error Is Responsible for 82% of Data Breaches,” last modified 2022, accessed October 4, 2022, https://www.grcelearning.com/blog/human-error-is-responsible-for-85-of-data-breaches#:~:text=According to Verizon’s 2022 Data,to access the organisation’s systems.","previouslyFormattedCitation":"Luke Irwin, “Human Error Is Responsible for 82% of Data Breaches,” last modified 2022, accessed October 4, 2022, https://www.grcelearning.com/blog/human-error-is-responsible-for-85-of-data-breaches#:~:text=According to Verizon’s 2022 Data,to access the organisation’s systems."},"properties":{"noteIndex":81},"schema":"https://github.com/citation-style-language/schema/raw/master/csl-citation.json"}</w:instrText>
      </w:r>
      <w:r w:rsidRPr="00475B9D">
        <w:fldChar w:fldCharType="separate"/>
      </w:r>
      <w:r w:rsidRPr="009C5098">
        <w:rPr>
          <w:noProof/>
        </w:rPr>
        <w:t>Luke Irwin, “Human Error Is Responsible for 82% of Data Breaches,” last modified 2022, accessed October 4, 2022, https://www.grcelearning.com/blog/human-error-is-responsible-for-85-of-data-breaches#:~:text=According to Verizon’s 2022 Data,to access the organisation’s systems.</w:t>
      </w:r>
      <w:r w:rsidRPr="00475B9D">
        <w:fldChar w:fldCharType="end"/>
      </w:r>
    </w:p>
  </w:footnote>
  <w:footnote w:id="82">
    <w:p w14:paraId="34C90ED1" w14:textId="77777777" w:rsidR="00EC504C" w:rsidRPr="005D6F7A" w:rsidRDefault="00EC504C" w:rsidP="00EC504C">
      <w:pPr>
        <w:pStyle w:val="FootnoteText"/>
        <w:ind w:firstLine="426"/>
      </w:pPr>
      <w:r w:rsidRPr="009B498D">
        <w:rPr>
          <w:rStyle w:val="FootnoteReference"/>
          <w:rFonts w:eastAsiaTheme="minorEastAsia"/>
        </w:rPr>
        <w:footnoteRef/>
      </w:r>
      <w:r w:rsidRPr="005D6F7A">
        <w:t xml:space="preserve"> </w:t>
      </w:r>
      <w:r w:rsidRPr="005D6F7A">
        <w:fldChar w:fldCharType="begin" w:fldLock="1"/>
      </w:r>
      <w:r>
        <w:instrText>ADDIN CSL_CITATION {"citationItems":[{"id":"ITEM-1","itemData":{"URL":"https://www.grcelearning.com/blog/human-error-is-responsible-for-85-of-data-breaches#:~:text=According to Verizon's 2022 Data,to access the organisation's systems.","accessed":{"date-parts":[["2022","10","4"]]},"author":[{"dropping-particle":"","family":"Irwin","given":"Luke","non-dropping-particle":"","parse-names":false,"suffix":""}],"id":"ITEM-1","issued":{"date-parts":[["2022"]]},"title":"Human Error is Responsible for 82% of Data Breaches","type":"webpage"},"uris":["http://www.mendeley.com/documents/?uuid=7b56f1f0-9bc4-441f-94bd-bf4e40ae0b4d"]}],"mendeley":{"formattedCitation":"Ibid.","plainTextFormattedCitation":"Ibid.","previouslyFormattedCitation":"Ibid."},"properties":{"noteIndex":82},"schema":"https://github.com/citation-style-language/schema/raw/master/csl-citation.json"}</w:instrText>
      </w:r>
      <w:r w:rsidRPr="005D6F7A">
        <w:fldChar w:fldCharType="separate"/>
      </w:r>
      <w:r w:rsidRPr="005D6F7A">
        <w:rPr>
          <w:noProof/>
        </w:rPr>
        <w:t>Ibid.</w:t>
      </w:r>
      <w:r w:rsidRPr="005D6F7A">
        <w:fldChar w:fldCharType="end"/>
      </w:r>
    </w:p>
  </w:footnote>
  <w:footnote w:id="83">
    <w:p w14:paraId="204A3507" w14:textId="3D018D39" w:rsidR="00EC504C" w:rsidRPr="002400C5" w:rsidRDefault="00EC504C" w:rsidP="00EC504C">
      <w:pPr>
        <w:pStyle w:val="FootnoteText"/>
        <w:ind w:firstLine="426"/>
      </w:pPr>
      <w:r w:rsidRPr="009B498D">
        <w:rPr>
          <w:rStyle w:val="FootnoteReference"/>
          <w:rFonts w:eastAsiaTheme="minorEastAsia"/>
        </w:rPr>
        <w:footnoteRef/>
      </w:r>
      <w:r>
        <w:t xml:space="preserve"> </w:t>
      </w:r>
      <w:r w:rsidRPr="002400C5">
        <w:fldChar w:fldCharType="begin" w:fldLock="1"/>
      </w:r>
      <w:r w:rsidR="00FE3AA1">
        <w:instrText>ADDIN CSL_CITATION {"citationItems":[{"id":"ITEM-1","itemData":{"URL":"https://www.ekransystem.com/en/blog/how-prevent-human-error-top-5-employee-cyber-security-mistakes","accessed":{"date-parts":[["2022","10","9"]]},"author":[{"dropping-particle":"","family":"Ekran","given":"","non-dropping-particle":"","parse-names":false,"suffix":""}],"id":"ITEM-1","issued":{"date-parts":[["2019"]]},"title":"How to Prevent Human Error: Top 4 Employee Cybersecurity Mistakes","type":"webpage"},"uris":["http://www.mendeley.com/documents/?uuid=c04aad01-1d59-49b9-9915-7fc21d3d39c0","http://www.mendeley.com/documents/?uuid=bc60c32b-4af7-456d-859e-4c94a13d2c9d"]}],"mendeley":{"formattedCitation":"Ekran, “How to Prevent Human Error: Top 4 Employee Cybersecurity Mistakes,” last modified 2019, accessed October 9, 2022, https://www.ekransystem.com/en/blog/how-prevent-human-error-top-5-employee-cyber-security-mistakes.","plainTextFormattedCitation":"Ekran, “How to Prevent Human Error: Top 4 Employee Cybersecurity Mistakes,” last modified 2019, accessed October 9, 2022, https://www.ekransystem.com/en/blog/how-prevent-human-error-top-5-employee-cyber-security-mistakes.","previouslyFormattedCitation":"Ekran, “How to Prevent Human Error: Top 4 Employee Cybersecurity Mistakes,” last modified 2019, accessed October 9, 2022, https://www.ekransystem.com/en/blog/how-prevent-human-error-top-5-employee-cyber-security-mistakes."},"properties":{"noteIndex":83},"schema":"https://github.com/citation-style-language/schema/raw/master/csl-citation.json"}</w:instrText>
      </w:r>
      <w:r w:rsidRPr="002400C5">
        <w:fldChar w:fldCharType="separate"/>
      </w:r>
      <w:r w:rsidRPr="00D80C6D">
        <w:rPr>
          <w:noProof/>
        </w:rPr>
        <w:t>Ekran, “How to Prevent Human Error: Top 4 Employee Cybersecurity Mistakes,” last modified 2019, accessed October 9, 2022, https://www.ekransystem.com/en/blog/how-prevent-human-error-top-5-employee-cyber-security-mistakes.</w:t>
      </w:r>
      <w:r w:rsidRPr="002400C5">
        <w:fldChar w:fldCharType="end"/>
      </w:r>
    </w:p>
  </w:footnote>
  <w:footnote w:id="84">
    <w:p w14:paraId="59E123DC" w14:textId="77777777" w:rsidR="00EC504C" w:rsidRPr="00021721" w:rsidRDefault="00EC504C" w:rsidP="00EC504C">
      <w:pPr>
        <w:pStyle w:val="FootnoteText"/>
        <w:ind w:firstLine="426"/>
      </w:pPr>
      <w:r w:rsidRPr="009B498D">
        <w:rPr>
          <w:rStyle w:val="FootnoteReference"/>
          <w:rFonts w:eastAsiaTheme="minorEastAsia"/>
        </w:rPr>
        <w:footnoteRef/>
      </w:r>
      <w:r>
        <w:t xml:space="preserve"> </w:t>
      </w:r>
      <w:r w:rsidRPr="00021721">
        <w:fldChar w:fldCharType="begin" w:fldLock="1"/>
      </w:r>
      <w:r>
        <w:instrText>ADDIN CSL_CITATION {"citationItems":[{"id":"ITEM-1","itemData":{"DOI":"10.3390/FI11040089","ISSN":"19995903","abstract":"The advancements in digital communication technology have made communication between humans more accessible and instant. However, personal and sensitive information may be available online through social networks and online services that lack the security measures to protect this information. Communication systems are vulnerable and can easily be penetrated by malicious users through social engineering attacks. These attacks aim at tricking individuals or enterprises into accomplishing actions that benefit attackers or providing them with sensitive data such as social security number, health records, and passwords. Social engineering is one of the biggest challenges facing network security because it exploits the natural human tendency to trust. This paper provides an in-depth survey about the social engineering attacks, their classifications, detection strategies, and prevention procedures.","author":[{"dropping-particle":"","family":"Salahdine","given":"Fatima","non-dropping-particle":"","parse-names":false,"suffix":""},{"dropping-particle":"","family":"Kaabouch","given":"Naima","non-dropping-particle":"","parse-names":false,"suffix":""}],"container-title":"Future Internet","id":"ITEM-1","issue":"4","issued":{"date-parts":[["2019"]]},"title":"Social engineering attacks: A survey","type":"article-journal","volume":"11"},"uris":["http://www.mendeley.com/documents/?uuid=47393142-0ea3-4aa7-aee6-591e7b885676","http://www.mendeley.com/documents/?uuid=96af8e2a-ed0f-43c1-a5c1-dbe3d533eb98"]}],"mendeley":{"formattedCitation":"Fatima Salahdine and Naima Kaabouch, “Social Engineering Attacks: A Survey,” &lt;i&gt;Future Internet&lt;/i&gt; 11, no. 4 (2019).","plainTextFormattedCitation":"Fatima Salahdine and Naima Kaabouch, “Social Engineering Attacks: A Survey,” Future Internet 11, no. 4 (2019).","previouslyFormattedCitation":"Fatima Salahdine and Naima Kaabouch, “Social Engineering Attacks: A Survey,” &lt;i&gt;Future Internet&lt;/i&gt; 11, no. 4 (2019)."},"properties":{"noteIndex":84},"schema":"https://github.com/citation-style-language/schema/raw/master/csl-citation.json"}</w:instrText>
      </w:r>
      <w:r w:rsidRPr="00021721">
        <w:fldChar w:fldCharType="separate"/>
      </w:r>
      <w:r w:rsidRPr="00021721">
        <w:rPr>
          <w:noProof/>
        </w:rPr>
        <w:t xml:space="preserve">Fatima Salahdine and Naima Kaabouch, “Social Engineering Attacks: A Survey,” </w:t>
      </w:r>
      <w:r w:rsidRPr="00021721">
        <w:rPr>
          <w:i/>
          <w:noProof/>
        </w:rPr>
        <w:t>Future Internet</w:t>
      </w:r>
      <w:r w:rsidRPr="00021721">
        <w:rPr>
          <w:noProof/>
        </w:rPr>
        <w:t xml:space="preserve"> 11, no. 4 (2019).</w:t>
      </w:r>
      <w:r w:rsidRPr="00021721">
        <w:fldChar w:fldCharType="end"/>
      </w:r>
    </w:p>
  </w:footnote>
  <w:footnote w:id="85">
    <w:p w14:paraId="2D29925A" w14:textId="77777777" w:rsidR="00EC504C" w:rsidRPr="00A17E97" w:rsidRDefault="00EC504C" w:rsidP="00EC504C">
      <w:pPr>
        <w:pStyle w:val="FootnoteText"/>
        <w:ind w:firstLine="426"/>
      </w:pPr>
      <w:r w:rsidRPr="009B498D">
        <w:rPr>
          <w:rStyle w:val="FootnoteReference"/>
          <w:rFonts w:eastAsiaTheme="minorEastAsia"/>
        </w:rPr>
        <w:footnoteRef/>
      </w:r>
      <w:r>
        <w:t xml:space="preserve"> </w:t>
      </w:r>
      <w:r>
        <w:fldChar w:fldCharType="begin" w:fldLock="1"/>
      </w:r>
      <w:r>
        <w:instrText>ADDIN CSL_CITATION {"citationItems":[{"id":"ITEM-1","itemData":{"DOI":"10.3390/FI11040089","ISSN":"19995903","abstract":"The advancements in digital communication technology have made communication between humans more accessible and instant. However, personal and sensitive information may be available online through social networks and online services that lack the security measures to protect this information. Communication systems are vulnerable and can easily be penetrated by malicious users through social engineering attacks. These attacks aim at tricking individuals or enterprises into accomplishing actions that benefit attackers or providing them with sensitive data such as social security number, health records, and passwords. Social engineering is one of the biggest challenges facing network security because it exploits the natural human tendency to trust. This paper provides an in-depth survey about the social engineering attacks, their classifications, detection strategies, and prevention procedures.","author":[{"dropping-particle":"","family":"Salahdine","given":"Fatima","non-dropping-particle":"","parse-names":false,"suffix":""},{"dropping-particle":"","family":"Kaabouch","given":"Naima","non-dropping-particle":"","parse-names":false,"suffix":""}],"container-title":"Future Internet","id":"ITEM-1","issue":"4","issued":{"date-parts":[["2019"]]},"title":"Social engineering attacks: A survey","type":"article-journal","volume":"11"},"uris":["http://www.mendeley.com/documents/?uuid=96af8e2a-ed0f-43c1-a5c1-dbe3d533eb98","http://www.mendeley.com/documents/?uuid=47393142-0ea3-4aa7-aee6-591e7b885676"]}],"mendeley":{"formattedCitation":"Ibid.","plainTextFormattedCitation":"Ibid.","previouslyFormattedCitation":"Ibid."},"properties":{"noteIndex":85},"schema":"https://github.com/citation-style-language/schema/raw/master/csl-citation.json"}</w:instrText>
      </w:r>
      <w:r>
        <w:fldChar w:fldCharType="separate"/>
      </w:r>
      <w:r w:rsidRPr="00A17E97">
        <w:rPr>
          <w:noProof/>
        </w:rPr>
        <w:t>Ibid.</w:t>
      </w:r>
      <w:r>
        <w:fldChar w:fldCharType="end"/>
      </w:r>
    </w:p>
  </w:footnote>
  <w:footnote w:id="86">
    <w:p w14:paraId="2EE061F6" w14:textId="77777777" w:rsidR="00EC504C" w:rsidRPr="006C423D" w:rsidRDefault="00EC504C" w:rsidP="00EC504C">
      <w:pPr>
        <w:pStyle w:val="FootnoteText"/>
        <w:ind w:firstLine="426"/>
      </w:pPr>
      <w:r w:rsidRPr="009B498D">
        <w:rPr>
          <w:rStyle w:val="FootnoteReference"/>
          <w:rFonts w:eastAsiaTheme="minorEastAsia"/>
        </w:rPr>
        <w:footnoteRef/>
      </w:r>
      <w:r>
        <w:t xml:space="preserve"> </w:t>
      </w:r>
      <w:r w:rsidRPr="006C423D">
        <w:fldChar w:fldCharType="begin" w:fldLock="1"/>
      </w:r>
      <w:r>
        <w:instrText>ADDIN CSL_CITATION {"citationItems":[{"id":"ITEM-1","itemData":{"abstract":"Recently, with the development of digital technology and the spread of the social media network and made the communication of human beings between each other more easily, but with the put the personal information and private evidence and the participation of others …","author":[{"dropping-particle":"","family":"F. AL-Otaibi","given":"Abeer","non-dropping-particle":"","parse-names":false,"suffix":""},{"dropping-particle":"","family":"S Alsuwat","given":"Emad","non-dropping-particle":"","parse-names":false,"suffix":""}],"container-title":"International Journal of Recent Advances in Multidisciplinary Research","id":"ITEM-1","issue":"11","issued":{"date-parts":[["2020"]]},"page":"6374-6380","title":"A Study on Social Engineering Attacks: Phishing Attack","type":"article-journal","volume":"07"},"uris":["http://www.mendeley.com/documents/?uuid=40a03f0f-bd77-411d-9689-65ff62368c62","http://www.mendeley.com/documents/?uuid=696c2cc9-e91a-4601-ac4d-bb438a7667a0"]}],"mendeley":{"formattedCitation":"Abeer F. AL-Otaibi and Emad S Alsuwat, “A Study on Social Engineering Attacks: Phishing Attack,” &lt;i&gt;International Journal of Recent Advances in Multidisciplinary Research&lt;/i&gt; 07, no. 11 (2020): 6374–6380.","plainTextFormattedCitation":"Abeer F. AL-Otaibi and Emad S Alsuwat, “A Study on Social Engineering Attacks: Phishing Attack,” International Journal of Recent Advances in Multidisciplinary Research 07, no. 11 (2020): 6374–6380.","previouslyFormattedCitation":"Abeer F. AL-Otaibi and Emad S Alsuwat, “A Study on Social Engineering Attacks: Phishing Attack,” &lt;i&gt;International Journal of Recent Advances in Multidisciplinary Research&lt;/i&gt; 07, no. 11 (2020): 6374–6380."},"properties":{"noteIndex":86},"schema":"https://github.com/citation-style-language/schema/raw/master/csl-citation.json"}</w:instrText>
      </w:r>
      <w:r w:rsidRPr="006C423D">
        <w:fldChar w:fldCharType="separate"/>
      </w:r>
      <w:r w:rsidRPr="006C423D">
        <w:rPr>
          <w:noProof/>
        </w:rPr>
        <w:t xml:space="preserve">Abeer F. AL-Otaibi and Emad S Alsuwat, “A Study on Social Engineering Attacks: Phishing Attack,” </w:t>
      </w:r>
      <w:r w:rsidRPr="006C423D">
        <w:rPr>
          <w:i/>
          <w:noProof/>
        </w:rPr>
        <w:t>International Journal of Recent Advances in Multidisciplinary Research</w:t>
      </w:r>
      <w:r w:rsidRPr="006C423D">
        <w:rPr>
          <w:noProof/>
        </w:rPr>
        <w:t xml:space="preserve"> 07, no. 11 (2020): 6374–6380.</w:t>
      </w:r>
      <w:r w:rsidRPr="006C423D">
        <w:fldChar w:fldCharType="end"/>
      </w:r>
    </w:p>
  </w:footnote>
  <w:footnote w:id="87">
    <w:p w14:paraId="711AD6FB" w14:textId="77777777" w:rsidR="00EC504C" w:rsidRPr="009C5098" w:rsidRDefault="00EC504C" w:rsidP="00EC504C">
      <w:pPr>
        <w:pStyle w:val="FootnoteText"/>
        <w:ind w:firstLine="426"/>
      </w:pPr>
      <w:r w:rsidRPr="009B498D">
        <w:rPr>
          <w:rStyle w:val="FootnoteReference"/>
          <w:rFonts w:eastAsiaTheme="minorEastAsia"/>
        </w:rPr>
        <w:footnoteRef/>
      </w:r>
      <w:r>
        <w:t xml:space="preserve"> </w:t>
      </w:r>
      <w:r w:rsidRPr="009C5098">
        <w:fldChar w:fldCharType="begin" w:fldLock="1"/>
      </w:r>
      <w:r>
        <w:instrText>ADDIN CSL_CITATION {"citationItems":[{"id":"ITEM-1","itemData":{"author":[{"dropping-particle":"","family":"Fernandes","given":"Diogo A.B.","non-dropping-particle":"","parse-names":false,"suffix":""},{"dropping-particle":"","family":"Soares","given":"Liliana F.B.","non-dropping-particle":"","parse-names":false,"suffix":""},{"dropping-particle":"V.","family":"Gomes","given":"João","non-dropping-particle":"","parse-names":false,"suffix":""},{"dropping-particle":"","family":"Freire","given":"Mário M.","non-dropping-particle":"","parse-names":false,"suffix":""},{"dropping-particle":"","family":"Inácio","given":"Pedro R.M.","non-dropping-particle":"","parse-names":false,"suffix":""}],"chapter-number":"25","container-title":"Emerging Trends in ICT Security","id":"ITEM-1","issued":{"date-parts":[["2014"]]},"page":"423-442","title":"Chapter 25 - A Quick Perspective on the Current State in Cybersecurity","type":"chapter"},"uris":["http://www.mendeley.com/documents/?uuid=da7f86d1-6f0e-43f9-a401-a06dab1b9cbd"]}],"mendeley":{"formattedCitation":"Diogo A.B. Fernandes et al., “Chapter 25 - A Quick Perspective on the Current State in Cybersecurity,” in &lt;i&gt;Emerging Trends in ICT Security&lt;/i&gt;, 2014, 423–442, https://www.sciencedirect.com/science/article/pii/B9780124114746000256.","plainTextFormattedCitation":"Diogo A.B. Fernandes et al., “Chapter 25 - A Quick Perspective on the Current State in Cybersecurity,” in Emerging Trends in ICT Security, 2014, 423–442, https://www.sciencedirect.com/science/article/pii/B9780124114746000256.","previouslyFormattedCitation":"Diogo A.B. Fernandes et al., “Chapter 25 - A Quick Perspective on the Current State in Cybersecurity,” in &lt;i&gt;Emerging Trends in ICT Security&lt;/i&gt;, 2014, 423–442, https://www.sciencedirect.com/science/article/pii/B9780124114746000256."},"properties":{"noteIndex":87},"schema":"https://github.com/citation-style-language/schema/raw/master/csl-citation.json"}</w:instrText>
      </w:r>
      <w:r w:rsidRPr="009C5098">
        <w:fldChar w:fldCharType="separate"/>
      </w:r>
      <w:r w:rsidRPr="009C5098">
        <w:rPr>
          <w:noProof/>
        </w:rPr>
        <w:t xml:space="preserve">Diogo A.B. Fernandes et al., “Chapter 25 - A Quick Perspective on the Current State in Cybersecurity,” in </w:t>
      </w:r>
      <w:r w:rsidRPr="009C5098">
        <w:rPr>
          <w:i/>
          <w:noProof/>
        </w:rPr>
        <w:t>Emerging Trends in ICT Security</w:t>
      </w:r>
      <w:r w:rsidRPr="009C5098">
        <w:rPr>
          <w:noProof/>
        </w:rPr>
        <w:t>, 2014, 423–442, https://www.sciencedirect.com/science/article/pii/B9780124114746000256.</w:t>
      </w:r>
      <w:r w:rsidRPr="009C5098">
        <w:fldChar w:fldCharType="end"/>
      </w:r>
    </w:p>
  </w:footnote>
  <w:footnote w:id="88">
    <w:p w14:paraId="2DB6595D" w14:textId="77777777" w:rsidR="00EC504C" w:rsidRPr="00515F56" w:rsidRDefault="00EC504C" w:rsidP="00EC504C">
      <w:pPr>
        <w:pStyle w:val="FootnoteText"/>
        <w:ind w:firstLine="426"/>
      </w:pPr>
      <w:r w:rsidRPr="009B498D">
        <w:rPr>
          <w:rStyle w:val="FootnoteReference"/>
          <w:rFonts w:eastAsiaTheme="minorEastAsia"/>
        </w:rPr>
        <w:footnoteRef/>
      </w:r>
      <w:r>
        <w:t xml:space="preserve"> </w:t>
      </w:r>
      <w:r w:rsidRPr="00515F56">
        <w:fldChar w:fldCharType="begin" w:fldLock="1"/>
      </w:r>
      <w:r>
        <w:instrText>ADDIN CSL_CITATION {"citationItems":[{"id":"ITEM-1","itemData":{"DOI":"10.21276/ijircst.2020.8.4.8","author":[{"dropping-particle":"","family":"Akanbi","given":"Abolaji B.","non-dropping-particle":"","parse-names":false,"suffix":""},{"dropping-particle":"","family":"Adebayo","given":"Adewale O.","non-dropping-particle":"","parse-names":false,"suffix":""},{"dropping-particle":"","family":"Idowu","given":"Sunday A.","non-dropping-particle":"","parse-names":false,"suffix":""},{"dropping-particle":"","family":"Okediran","given":"Ebunoluwa E.","non-dropping-particle":"","parse-names":false,"suffix":""}],"container-title":"International Journal of Innovative Research in Computer Science &amp; Technology","id":"ITEM-1","issue":"4","issued":{"date-parts":[["2020"]]},"title":"a Stacked Ensemble Framework for Detecting Malicious Insiders","type":"article-journal","volume":"8"},"uris":["http://www.mendeley.com/documents/?uuid=676aa372-2ae9-4f2d-8e3e-8a09f3503ca2"]}],"mendeley":{"formattedCitation":"Abolaji B. Akanbi et al., “A Stacked Ensemble Framework for Detecting Malicious Insiders,” &lt;i&gt;International Journal of Innovative Research in Computer Science &amp; Technology&lt;/i&gt; 8, no. 4 (2020).","plainTextFormattedCitation":"Abolaji B. Akanbi et al., “A Stacked Ensemble Framework for Detecting Malicious Insiders,” International Journal of Innovative Research in Computer Science &amp; Technology 8, no. 4 (2020).","previouslyFormattedCitation":"Abolaji B. Akanbi et al., “A Stacked Ensemble Framework for Detecting Malicious Insiders,” &lt;i&gt;International Journal of Innovative Research in Computer Science &amp; Technology&lt;/i&gt; 8, no. 4 (2020)."},"properties":{"noteIndex":88},"schema":"https://github.com/citation-style-language/schema/raw/master/csl-citation.json"}</w:instrText>
      </w:r>
      <w:r w:rsidRPr="00515F56">
        <w:fldChar w:fldCharType="separate"/>
      </w:r>
      <w:r w:rsidRPr="00515F56">
        <w:rPr>
          <w:noProof/>
        </w:rPr>
        <w:t xml:space="preserve">Abolaji B. Akanbi et al., “A Stacked Ensemble Framework for Detecting Malicious Insiders,” </w:t>
      </w:r>
      <w:r w:rsidRPr="00515F56">
        <w:rPr>
          <w:i/>
          <w:noProof/>
        </w:rPr>
        <w:t>International Journal of Innovative Research in Computer Science &amp; Technology</w:t>
      </w:r>
      <w:r w:rsidRPr="00515F56">
        <w:rPr>
          <w:noProof/>
        </w:rPr>
        <w:t xml:space="preserve"> 8, no. 4 (2020).</w:t>
      </w:r>
      <w:r w:rsidRPr="00515F56">
        <w:fldChar w:fldCharType="end"/>
      </w:r>
    </w:p>
  </w:footnote>
  <w:footnote w:id="89">
    <w:p w14:paraId="478F1A21" w14:textId="77777777" w:rsidR="00EC504C" w:rsidRPr="00B24B18" w:rsidRDefault="00EC504C" w:rsidP="00EC504C">
      <w:pPr>
        <w:pStyle w:val="FootnoteText"/>
        <w:ind w:firstLine="426"/>
      </w:pPr>
      <w:r w:rsidRPr="009B498D">
        <w:rPr>
          <w:rStyle w:val="FootnoteReference"/>
          <w:rFonts w:eastAsiaTheme="minorEastAsia"/>
        </w:rPr>
        <w:footnoteRef/>
      </w:r>
      <w:r>
        <w:t xml:space="preserve"> </w:t>
      </w:r>
      <w:r w:rsidRPr="00B24B18">
        <w:fldChar w:fldCharType="begin" w:fldLock="1"/>
      </w:r>
      <w:r>
        <w:instrText>ADDIN CSL_CITATION {"citationItems":[{"id":"ITEM-1","itemData":{"DOI":"10.21276/ijircst.2020.8.4.8","author":[{"dropping-particle":"","family":"Akanbi","given":"Abolaji B.","non-dropping-particle":"","parse-names":false,"suffix":""},{"dropping-particle":"","family":"Adebayo","given":"Adewale O.","non-dropping-particle":"","parse-names":false,"suffix":""},{"dropping-particle":"","family":"Idowu","given":"Sunday A.","non-dropping-particle":"","parse-names":false,"suffix":""},{"dropping-particle":"","family":"Okediran","given":"Ebunoluwa E.","non-dropping-particle":"","parse-names":false,"suffix":""}],"container-title":"International Journal of Innovative Research in Computer Science &amp; Technology","id":"ITEM-1","issue":"4","issued":{"date-parts":[["2020"]]},"title":"a Stacked Ensemble Framework for Detecting Malicious Insiders","type":"article-journal","volume":"8"},"uris":["http://www.mendeley.com/documents/?uuid=676aa372-2ae9-4f2d-8e3e-8a09f3503ca2"]}],"mendeley":{"formattedCitation":"Ibid.","plainTextFormattedCitation":"Ibid.","previouslyFormattedCitation":"Ibid."},"properties":{"noteIndex":89},"schema":"https://github.com/citation-style-language/schema/raw/master/csl-citation.json"}</w:instrText>
      </w:r>
      <w:r w:rsidRPr="00B24B18">
        <w:fldChar w:fldCharType="separate"/>
      </w:r>
      <w:r w:rsidRPr="00B24B18">
        <w:rPr>
          <w:noProof/>
        </w:rPr>
        <w:t>Ibid.</w:t>
      </w:r>
      <w:r w:rsidRPr="00B24B18">
        <w:fldChar w:fldCharType="end"/>
      </w:r>
    </w:p>
  </w:footnote>
  <w:footnote w:id="90">
    <w:p w14:paraId="57EA398E" w14:textId="77777777" w:rsidR="00EC504C" w:rsidRPr="008D3695" w:rsidRDefault="00EC504C" w:rsidP="00EC504C">
      <w:pPr>
        <w:pStyle w:val="FootnoteText"/>
        <w:ind w:firstLine="426"/>
      </w:pPr>
      <w:r w:rsidRPr="009B498D">
        <w:rPr>
          <w:rStyle w:val="FootnoteReference"/>
          <w:rFonts w:eastAsiaTheme="minorEastAsia"/>
        </w:rPr>
        <w:footnoteRef/>
      </w:r>
      <w:r>
        <w:t xml:space="preserve"> </w:t>
      </w:r>
      <w:r w:rsidRPr="008D3695">
        <w:fldChar w:fldCharType="begin" w:fldLock="1"/>
      </w:r>
      <w:r>
        <w:instrText>ADDIN CSL_CITATION {"citationItems":[{"id":"ITEM-1","itemData":{"URL":"https://www.kaspersky.com/resource-center/threats/data-theft","accessed":{"date-parts":[["2022","10","2"]]},"author":[{"dropping-particle":"","family":"Kaspersky","given":"","non-dropping-particle":"","parse-names":false,"suffix":""}],"id":"ITEM-1","issued":{"date-parts":[["0"]]},"title":"What is data theft and how to prevent it","type":"webpage"},"uris":["http://www.mendeley.com/documents/?uuid=47c678ba-a6e1-42ae-8932-4a425b83c441"]}],"mendeley":{"formattedCitation":"Kaspersky, “What Is Data Theft and How to Prevent It,” accessed October 2, 2022, https://www.kaspersky.com/resource-center/threats/data-theft.","plainTextFormattedCitation":"Kaspersky, “What Is Data Theft and How to Prevent It,” accessed October 2, 2022, https://www.kaspersky.com/resource-center/threats/data-theft.","previouslyFormattedCitation":"Kaspersky, “What Is Data Theft and How to Prevent It,” accessed October 2, 2022, https://www.kaspersky.com/resource-center/threats/data-theft."},"properties":{"noteIndex":90},"schema":"https://github.com/citation-style-language/schema/raw/master/csl-citation.json"}</w:instrText>
      </w:r>
      <w:r w:rsidRPr="008D3695">
        <w:fldChar w:fldCharType="separate"/>
      </w:r>
      <w:r w:rsidRPr="008D3695">
        <w:rPr>
          <w:noProof/>
        </w:rPr>
        <w:t>Kaspersky, “What Is Data Theft and How to Prevent It,” accessed October 2, 2022, https://www.kaspersky.com/resource-center/threats/data-theft.</w:t>
      </w:r>
      <w:r w:rsidRPr="008D3695">
        <w:fldChar w:fldCharType="end"/>
      </w:r>
    </w:p>
  </w:footnote>
  <w:footnote w:id="91">
    <w:p w14:paraId="4FAEE70F" w14:textId="77777777" w:rsidR="00EC504C" w:rsidRPr="00A30B70" w:rsidRDefault="00EC504C" w:rsidP="00EC504C">
      <w:pPr>
        <w:pStyle w:val="FootnoteText"/>
        <w:ind w:firstLine="426"/>
      </w:pPr>
      <w:r w:rsidRPr="009B498D">
        <w:rPr>
          <w:rStyle w:val="FootnoteReference"/>
          <w:rFonts w:eastAsiaTheme="minorEastAsia"/>
        </w:rPr>
        <w:footnoteRef/>
      </w:r>
      <w:r>
        <w:t xml:space="preserve"> </w:t>
      </w:r>
      <w:r w:rsidRPr="00A30B70">
        <w:fldChar w:fldCharType="begin" w:fldLock="1"/>
      </w:r>
      <w:r>
        <w:instrText>ADDIN CSL_CITATION {"citationItems":[{"id":"ITEM-1","itemData":{"URL":"https://sourcedefense.com/glossary/what-is-data-theft/","accessed":{"date-parts":[["2022","10","3"]]},"author":[{"dropping-particle":"","family":"Source Defense","given":"","non-dropping-particle":"","parse-names":false,"suffix":""}],"id":"ITEM-1","issued":{"date-parts":[["2022"]]},"title":"What is data theft?","type":"webpage"},"uris":["http://www.mendeley.com/documents/?uuid=a4281363-8458-4376-bf41-85f4b9e1ab15","http://www.mendeley.com/documents/?uuid=3e091c36-4d0f-4c9b-b9ef-dc7c49d06346"]}],"mendeley":{"formattedCitation":"Source Defense, “What Is Data Theft?,” last modified 2022, accessed October 3, 2022, https://sourcedefense.com/glossary/what-is-data-theft/.","plainTextFormattedCitation":"Source Defense, “What Is Data Theft?,” last modified 2022, accessed October 3, 2022, https://sourcedefense.com/glossary/what-is-data-theft/.","previouslyFormattedCitation":"Source Defense, “What Is Data Theft?,” last modified 2022, accessed October 3, 2022, https://sourcedefense.com/glossary/what-is-data-theft/."},"properties":{"noteIndex":91},"schema":"https://github.com/citation-style-language/schema/raw/master/csl-citation.json"}</w:instrText>
      </w:r>
      <w:r w:rsidRPr="00A30B70">
        <w:fldChar w:fldCharType="separate"/>
      </w:r>
      <w:r w:rsidRPr="005D6F7A">
        <w:rPr>
          <w:noProof/>
        </w:rPr>
        <w:t>Source Defense, “What Is Data Theft?,” last modified 2022, accessed October 3, 2022, https://sourcedefense.com/glossary/what-is-data-theft/.</w:t>
      </w:r>
      <w:r w:rsidRPr="00A30B70">
        <w:fldChar w:fldCharType="end"/>
      </w:r>
    </w:p>
  </w:footnote>
  <w:footnote w:id="92">
    <w:p w14:paraId="03E30890" w14:textId="77777777" w:rsidR="00EC504C" w:rsidRPr="00323AFA" w:rsidRDefault="00EC504C" w:rsidP="00EC504C">
      <w:pPr>
        <w:pStyle w:val="FootnoteText"/>
        <w:ind w:firstLine="426"/>
      </w:pPr>
      <w:r w:rsidRPr="009B498D">
        <w:rPr>
          <w:rStyle w:val="FootnoteReference"/>
          <w:rFonts w:eastAsiaTheme="minorEastAsia"/>
        </w:rPr>
        <w:footnoteRef/>
      </w:r>
      <w:r w:rsidRPr="00323AFA">
        <w:t xml:space="preserve"> </w:t>
      </w:r>
      <w:r w:rsidRPr="00323AFA">
        <w:fldChar w:fldCharType="begin" w:fldLock="1"/>
      </w:r>
      <w:r>
        <w:instrText>ADDIN CSL_CITATION {"citationItems":[{"id":"ITEM-1","itemData":{"URL":"https://www.usa.gov/identity-theft","accessed":{"date-parts":[["2022","10","3"]]},"author":[{"dropping-particle":"","family":"usa.gov","given":"","non-dropping-particle":"","parse-names":false,"suffix":""}],"id":"ITEM-1","issued":{"date-parts":[["2022"]]},"title":"Identity Theft","type":"webpage"},"uris":["http://www.mendeley.com/documents/?uuid=5f606713-c582-47de-a092-d5c080fb4ce2","http://www.mendeley.com/documents/?uuid=2a1d8d67-3397-4b6e-a134-2bf0b96417bc"]}],"mendeley":{"formattedCitation":"usa.gov, “Identity Theft,” last modified 2022, accessed October 3, 2022, https://www.usa.gov/identity-theft.","plainTextFormattedCitation":"usa.gov, “Identity Theft,” last modified 2022, accessed October 3, 2022, https://www.usa.gov/identity-theft.","previouslyFormattedCitation":"usa.gov, “Identity Theft,” last modified 2022, accessed October 3, 2022, https://www.usa.gov/identity-theft."},"properties":{"noteIndex":92},"schema":"https://github.com/citation-style-language/schema/raw/master/csl-citation.json"}</w:instrText>
      </w:r>
      <w:r w:rsidRPr="00323AFA">
        <w:fldChar w:fldCharType="separate"/>
      </w:r>
      <w:r w:rsidRPr="005D6F7A">
        <w:rPr>
          <w:noProof/>
        </w:rPr>
        <w:t>usa.gov, “Identity Theft,” last modified 2022, accessed October 3, 2022, https://www.usa.gov/identity-theft.</w:t>
      </w:r>
      <w:r w:rsidRPr="00323AFA">
        <w:fldChar w:fldCharType="end"/>
      </w:r>
    </w:p>
  </w:footnote>
  <w:footnote w:id="93">
    <w:p w14:paraId="37CC352F" w14:textId="77777777" w:rsidR="00EC504C" w:rsidRPr="00A30B70" w:rsidRDefault="00EC504C" w:rsidP="00EC504C">
      <w:pPr>
        <w:pStyle w:val="FootnoteText"/>
        <w:ind w:firstLine="426"/>
      </w:pPr>
      <w:r w:rsidRPr="009B498D">
        <w:rPr>
          <w:rStyle w:val="FootnoteReference"/>
          <w:rFonts w:eastAsiaTheme="minorEastAsia"/>
        </w:rPr>
        <w:footnoteRef/>
      </w:r>
      <w:r>
        <w:t xml:space="preserve"> </w:t>
      </w:r>
      <w:r>
        <w:fldChar w:fldCharType="begin" w:fldLock="1"/>
      </w:r>
      <w:r>
        <w:instrText>ADDIN CSL_CITATION {"citationItems":[{"id":"ITEM-1","itemData":{"author":[{"dropping-particle":"","family":"Source Defense","given":"","non-dropping-particle":"","parse-names":false,"suffix":""}],"id":"ITEM-1","issued":{"date-parts":[["2022"]]},"title":"What is data theft?","type":"webpage"},"uris":["http://www.mendeley.com/documents/?uuid=3e091c36-4d0f-4c9b-b9ef-dc7c49d06346","http://www.mendeley.com/documents/?uuid=a4281363-8458-4376-bf41-85f4b9e1ab15"]}],"mendeley":{"formattedCitation":"Source Defense, “What Is Data Theft?”","plainTextFormattedCitation":"Source Defense, “What Is Data Theft?”","previouslyFormattedCitation":"Source Defense, “What Is Data Theft?”"},"properties":{"noteIndex":93},"schema":"https://github.com/citation-style-language/schema/raw/master/csl-citation.json"}</w:instrText>
      </w:r>
      <w:r>
        <w:fldChar w:fldCharType="separate"/>
      </w:r>
      <w:r w:rsidRPr="00590038">
        <w:rPr>
          <w:noProof/>
        </w:rPr>
        <w:t>Source</w:t>
      </w:r>
      <w:r w:rsidRPr="00323AFA">
        <w:rPr>
          <w:noProof/>
        </w:rPr>
        <w:t xml:space="preserve"> Defense, “What Is Data Theft?”</w:t>
      </w:r>
      <w:r>
        <w:fldChar w:fldCharType="end"/>
      </w:r>
    </w:p>
  </w:footnote>
  <w:footnote w:id="94">
    <w:p w14:paraId="302120BF" w14:textId="77777777" w:rsidR="00EC504C" w:rsidRPr="00E7211D" w:rsidRDefault="00EC504C" w:rsidP="00EC504C">
      <w:pPr>
        <w:pStyle w:val="FootnoteText"/>
        <w:ind w:firstLine="426"/>
      </w:pPr>
      <w:r w:rsidRPr="009B498D">
        <w:rPr>
          <w:rStyle w:val="FootnoteReference"/>
          <w:rFonts w:eastAsiaTheme="minorEastAsia"/>
        </w:rPr>
        <w:footnoteRef/>
      </w:r>
      <w:r>
        <w:t xml:space="preserve"> </w:t>
      </w:r>
      <w:r w:rsidRPr="00E7211D">
        <w:fldChar w:fldCharType="begin" w:fldLock="1"/>
      </w:r>
      <w:r>
        <w:instrText>ADDIN CSL_CITATION {"citationItems":[{"id":"ITEM-1","itemData":{"DOI":"10.6084/m9.figshare.1284635","author":[{"dropping-particle":"","family":"Koyame-Marsh","given":"Rita O.","non-dropping-particle":"","parse-names":false,"suffix":""},{"dropping-particle":"","family":"Marsh","given":"John L.","non-dropping-particle":"","parse-names":false,"suffix":""}],"container-title":"IOSR Journal of Economics and Finance (IOSR-JEF)","id":"ITEM-1","issue":"6","issued":{"date-parts":[["2014"]]},"page":"36-45","title":"Data Breaches and Identity Theft: Costs and Responses","type":"article-journal","volume":"5"},"uris":["http://www.mendeley.com/documents/?uuid=d6fa7f00-7762-4d95-8d0a-3cf6cd0572b2","http://www.mendeley.com/documents/?uuid=ea85786c-29f4-4157-b505-aaba24772671"]}],"mendeley":{"formattedCitation":"Koyame-Marsh and Marsh, “Data Breaches and Identity Theft: Costs and Responses.”","plainTextFormattedCitation":"Koyame-Marsh and Marsh, “Data Breaches and Identity Theft: Costs and Responses.”","previouslyFormattedCitation":"Koyame-Marsh and Marsh, “Data Breaches and Identity Theft: Costs and Responses.”"},"properties":{"noteIndex":94},"schema":"https://github.com/citation-style-language/schema/raw/master/csl-citation.json"}</w:instrText>
      </w:r>
      <w:r w:rsidRPr="00E7211D">
        <w:fldChar w:fldCharType="separate"/>
      </w:r>
      <w:r w:rsidRPr="00E7211D">
        <w:rPr>
          <w:noProof/>
        </w:rPr>
        <w:t>Koyame-Marsh and Marsh, “Data Breaches and Identity Theft: Costs and Responses.”</w:t>
      </w:r>
      <w:r w:rsidRPr="00E7211D">
        <w:fldChar w:fldCharType="end"/>
      </w:r>
    </w:p>
  </w:footnote>
  <w:footnote w:id="95">
    <w:p w14:paraId="01F1FC9B" w14:textId="77777777" w:rsidR="00EC504C" w:rsidRPr="001374C4" w:rsidRDefault="00EC504C" w:rsidP="00EC504C">
      <w:pPr>
        <w:pStyle w:val="FootnoteText"/>
        <w:ind w:firstLine="426"/>
      </w:pPr>
      <w:r w:rsidRPr="009B498D">
        <w:rPr>
          <w:rStyle w:val="FootnoteReference"/>
          <w:rFonts w:eastAsiaTheme="minorEastAsia"/>
        </w:rPr>
        <w:footnoteRef/>
      </w:r>
      <w:r>
        <w:t xml:space="preserve"> </w:t>
      </w:r>
      <w:r w:rsidRPr="001374C4">
        <w:fldChar w:fldCharType="begin" w:fldLock="1"/>
      </w:r>
      <w:r>
        <w:instrText>ADDIN CSL_CITATION {"citationItems":[{"id":"ITEM-1","itemData":{"URL":"https://www.lawinsider.com/dictionary/medical-reports","accessed":{"date-parts":[["2022","10","4"]]},"author":[{"dropping-particle":"","family":"Law Insider","given":"","non-dropping-particle":"","parse-names":false,"suffix":""}],"id":"ITEM-1","issued":{"date-parts":[["2022"]]},"title":"Medical Reports definition","type":"webpage"},"uris":["http://www.mendeley.com/documents/?uuid=7d3a1407-71f1-4505-9d3f-5c37244d7046","http://www.mendeley.com/documents/?uuid=bc899b39-e235-4275-8e94-2470e5d552e2"]}],"mendeley":{"formattedCitation":"Law Insider, “Medical Reports Definition,” last modified 2022, accessed October 4, 2022, https://www.lawinsider.com/dictionary/medical-reports.","plainTextFormattedCitation":"Law Insider, “Medical Reports Definition,” last modified 2022, accessed October 4, 2022, https://www.lawinsider.com/dictionary/medical-reports.","previouslyFormattedCitation":"Law Insider, “Medical Reports Definition,” last modified 2022, accessed October 4, 2022, https://www.lawinsider.com/dictionary/medical-reports."},"properties":{"noteIndex":95},"schema":"https://github.com/citation-style-language/schema/raw/master/csl-citation.json"}</w:instrText>
      </w:r>
      <w:r w:rsidRPr="001374C4">
        <w:fldChar w:fldCharType="separate"/>
      </w:r>
      <w:r w:rsidRPr="005D6F7A">
        <w:rPr>
          <w:noProof/>
        </w:rPr>
        <w:t>Law Insider, “Medical Reports Definition,” last modified 2022, accessed October 4, 2022, https://www.lawinsider.com/dictionary/medical-reports.</w:t>
      </w:r>
      <w:r w:rsidRPr="001374C4">
        <w:fldChar w:fldCharType="end"/>
      </w:r>
    </w:p>
  </w:footnote>
  <w:footnote w:id="96">
    <w:p w14:paraId="3B748925" w14:textId="77777777" w:rsidR="00EC504C" w:rsidRPr="005154D8" w:rsidRDefault="00EC504C" w:rsidP="00EC504C">
      <w:pPr>
        <w:pStyle w:val="FootnoteText"/>
        <w:ind w:firstLine="426"/>
      </w:pPr>
      <w:r w:rsidRPr="009B498D">
        <w:rPr>
          <w:rStyle w:val="FootnoteReference"/>
          <w:rFonts w:eastAsiaTheme="minorEastAsia"/>
        </w:rPr>
        <w:footnoteRef/>
      </w:r>
      <w:r>
        <w:t xml:space="preserve"> </w:t>
      </w:r>
      <w:r w:rsidRPr="005154D8">
        <w:fldChar w:fldCharType="begin" w:fldLock="1"/>
      </w:r>
      <w:r>
        <w:instrText>ADDIN CSL_CITATION {"citationItems":[{"id":"ITEM-1","itemData":{"author":[{"dropping-particle":"","family":"Okereafor","given":"Kenneth","non-dropping-particle":"","parse-names":false,"suffix":""},{"dropping-particle":"","family":"Adelaiye","given":"Oluwasegun","non-dropping-particle":"","parse-names":false,"suffix":""}],"container-title":"International Journal of Recent Engineering Research and Development (IJRERD)","id":"ITEM-1","issue":"07","issued":{"date-parts":[["2020"]]},"page":"61-72","title":"Randomized Cyber Attack Simulation Model: A Cybersecurity Mitigation Proposal for Post COVID-19 Digital Era","type":"article-journal","volume":"05"},"uris":["http://www.mendeley.com/documents/?uuid=8eaeaf58-825b-4286-a8ec-5efec6cf7023","http://www.mendeley.com/documents/?uuid=8f85f94e-0e56-41d0-86f9-c58c75ddb2d7"]}],"mendeley":{"formattedCitation":"Kenneth Okereafor and Oluwasegun Adelaiye, “Randomized Cyber Attack Simulation Model: A Cybersecurity Mitigation Proposal for Post COVID-19 Digital Era,” &lt;i&gt;International Journal of Recent Engineering Research and Development (IJRERD)&lt;/i&gt; 05, no. 07 (2020): 61–72, www.ijrerd.com.","plainTextFormattedCitation":"Kenneth Okereafor and Oluwasegun Adelaiye, “Randomized Cyber Attack Simulation Model: A Cybersecurity Mitigation Proposal for Post COVID-19 Digital Era,” International Journal of Recent Engineering Research and Development (IJRERD) 05, no. 07 (2020): 61–72, www.ijrerd.com.","previouslyFormattedCitation":"Kenneth Okereafor and Oluwasegun Adelaiye, “Randomized Cyber Attack Simulation Model: A Cybersecurity Mitigation Proposal for Post COVID-19 Digital Era,” &lt;i&gt;International Journal of Recent Engineering Research and Development (IJRERD)&lt;/i&gt; 05, no. 07 (2020): 61–72, www.ijrerd.com."},"properties":{"noteIndex":96},"schema":"https://github.com/citation-style-language/schema/raw/master/csl-citation.json"}</w:instrText>
      </w:r>
      <w:r w:rsidRPr="005154D8">
        <w:fldChar w:fldCharType="separate"/>
      </w:r>
      <w:r w:rsidRPr="009C5098">
        <w:rPr>
          <w:noProof/>
        </w:rPr>
        <w:t xml:space="preserve">Kenneth Okereafor and Oluwasegun Adelaiye, “Randomized Cyber Attack Simulation Model: A Cybersecurity Mitigation Proposal for Post COVID-19 Digital Era,” </w:t>
      </w:r>
      <w:r w:rsidRPr="009C5098">
        <w:rPr>
          <w:i/>
          <w:noProof/>
        </w:rPr>
        <w:t>International Journal of Recent Engineering Research and Development (IJRERD)</w:t>
      </w:r>
      <w:r w:rsidRPr="009C5098">
        <w:rPr>
          <w:noProof/>
        </w:rPr>
        <w:t xml:space="preserve"> 05, no. 07 (2020): 61–72, www.ijrerd.com.</w:t>
      </w:r>
      <w:r w:rsidRPr="005154D8">
        <w:fldChar w:fldCharType="end"/>
      </w:r>
    </w:p>
  </w:footnote>
  <w:footnote w:id="97">
    <w:p w14:paraId="00BE2B30" w14:textId="77777777" w:rsidR="00EC504C" w:rsidRPr="00113567" w:rsidRDefault="00EC504C" w:rsidP="00EC504C">
      <w:pPr>
        <w:pStyle w:val="FootnoteText"/>
        <w:ind w:firstLine="567"/>
      </w:pPr>
      <w:r w:rsidRPr="009B498D">
        <w:rPr>
          <w:rStyle w:val="FootnoteReference"/>
          <w:rFonts w:eastAsiaTheme="minorEastAsia"/>
        </w:rPr>
        <w:footnoteRef/>
      </w:r>
      <w:r>
        <w:t xml:space="preserve"> </w:t>
      </w:r>
      <w:r w:rsidRPr="00113567">
        <w:fldChar w:fldCharType="begin" w:fldLock="1"/>
      </w:r>
      <w:r>
        <w:instrText>ADDIN CSL_CITATION {"citationItems":[{"id":"ITEM-1","itemData":{"abstract":"… In Iran, unauthorized access differs from traditional crime and is considered crime arising … OS Kerr 'Cyber-crime's scope: Interpreting 'access' and 'authorization' in computer misuse statutes … 42 K. Shirzad, Computer Crimes Viewpoints Iranian Criminal Law and International Law …","author":[{"dropping-particle":"","family":"Rahman","given":"Rizal","non-dropping-particle":"","parse-names":false,"suffix":""},{"dropping-particle":"","family":"Manap","given":"Nazura Abdul","non-dropping-particle":"","parse-names":false,"suffix":""},{"dropping-particle":"","family":"Mukhtar","given":"Sohaib","non-dropping-particle":"","parse-names":false,"suffix":""}],"container-title":"Baltica","id":"ITEM-1","issue":"11","issued":{"date-parts":[["2020"]]},"page":"67 - 86","title":"Hacking in Cyberspace Identity Theft: A Comparative Analysis of Malaysia, United Kingdom, and Iran","type":"article-journal","volume":"23"},"uris":["http://www.mendeley.com/documents/?uuid=56456d22-21c6-43f1-8e9b-2ee5901d8c89"]}],"mendeley":{"formattedCitation":"Rizal Rahman, Nazura Abdul Manap, and Sohaib Mukhtar, “Hacking in Cyberspace Identity Theft: A Comparative Analysis of Malaysia, United Kingdom, and Iran,” &lt;i&gt;Baltica&lt;/i&gt; 23, no. 11 (2020): 67–86, https://www.researchgate.net/publication/347935764.","plainTextFormattedCitation":"Rizal Rahman, Nazura Abdul Manap, and Sohaib Mukhtar, “Hacking in Cyberspace Identity Theft: A Comparative Analysis of Malaysia, United Kingdom, and Iran,” Baltica 23, no. 11 (2020): 67–86, https://www.researchgate.net/publication/347935764.","previouslyFormattedCitation":"Rizal Rahman, Nazura Abdul Manap, and Sohaib Mukhtar, “Hacking in Cyberspace Identity Theft: A Comparative Analysis of Malaysia, United Kingdom, and Iran,” &lt;i&gt;Baltica&lt;/i&gt; 23, no. 11 (2020): 67–86, https://www.researchgate.net/publication/347935764."},"properties":{"noteIndex":97},"schema":"https://github.com/citation-style-language/schema/raw/master/csl-citation.json"}</w:instrText>
      </w:r>
      <w:r w:rsidRPr="00113567">
        <w:fldChar w:fldCharType="separate"/>
      </w:r>
      <w:r w:rsidRPr="00113567">
        <w:rPr>
          <w:noProof/>
        </w:rPr>
        <w:t xml:space="preserve">Rizal Rahman, Nazura Abdul Manap, and Sohaib Mukhtar, “Hacking in Cyberspace Identity Theft: A Comparative Analysis of Malaysia, United Kingdom, and Iran,” </w:t>
      </w:r>
      <w:r w:rsidRPr="00113567">
        <w:rPr>
          <w:i/>
          <w:noProof/>
        </w:rPr>
        <w:t>Baltica</w:t>
      </w:r>
      <w:r w:rsidRPr="00113567">
        <w:rPr>
          <w:noProof/>
        </w:rPr>
        <w:t xml:space="preserve"> 23, no. 11 (2020): 67–86, https://www.researchgate.net/publication/347935764.</w:t>
      </w:r>
      <w:r w:rsidRPr="00113567">
        <w:fldChar w:fldCharType="end"/>
      </w:r>
    </w:p>
  </w:footnote>
  <w:footnote w:id="98">
    <w:p w14:paraId="1A8B7348" w14:textId="77777777" w:rsidR="00EC504C" w:rsidRPr="00113567" w:rsidRDefault="00EC504C" w:rsidP="00EC504C">
      <w:pPr>
        <w:pStyle w:val="FootnoteText"/>
        <w:ind w:firstLine="567"/>
      </w:pPr>
      <w:r w:rsidRPr="009B498D">
        <w:rPr>
          <w:rStyle w:val="FootnoteReference"/>
          <w:rFonts w:eastAsiaTheme="minorEastAsia"/>
        </w:rPr>
        <w:footnoteRef/>
      </w:r>
      <w:r>
        <w:t xml:space="preserve"> </w:t>
      </w:r>
      <w:r w:rsidRPr="00113567">
        <w:fldChar w:fldCharType="begin" w:fldLock="1"/>
      </w:r>
      <w:r>
        <w:instrText>ADDIN CSL_CITATION {"citationItems":[{"id":"ITEM-1","itemData":{"author":[{"dropping-particle":"","family":"Kong","given":"Joe","non-dropping-particle":"","parse-names":false,"suffix":""},{"dropping-particle":"","family":"Fan","given":"Xiaoxi","non-dropping-particle":"","parse-names":false,"suffix":""},{"dropping-particle":"","family":"K.P. Chow","given":"","non-dropping-particle":"","parse-names":false,"suffix":""}],"id":"ITEM-1","issued":{"date-parts":[["2015"]]},"number-of-pages":"12","publisher":"Edwar Elgar Publishing","publisher-place":"UK","title":"Privacy and Legal Issues in Cloud Computing: Introduction to cloud computing and security issues","type":"book"},"uris":["http://www.mendeley.com/documents/?uuid=54b326ef-518c-4b8f-a47a-5fd67fd5b9bc"]}],"mendeley":{"formattedCitation":"Joe Kong, Xiaoxi Fan, and K.P. Chow, &lt;i&gt;Privacy and Legal Issues in Cloud Computing: Introduction to Cloud Computing and Security Issues&lt;/i&gt; (UK: Edwar Elgar Publishing, 2015).","plainTextFormattedCitation":"Joe Kong, Xiaoxi Fan, and K.P. Chow, Privacy and Legal Issues in Cloud Computing: Introduction to Cloud Computing and Security Issues (UK: Edwar Elgar Publishing, 2015).","previouslyFormattedCitation":"Joe Kong, Xiaoxi Fan, and K.P. Chow, &lt;i&gt;Privacy and Legal Issues in Cloud Computing: Introduction to Cloud Computing and Security Issues&lt;/i&gt; (UK: Edwar Elgar Publishing, 2015)."},"properties":{"noteIndex":98},"schema":"https://github.com/citation-style-language/schema/raw/master/csl-citation.json"}</w:instrText>
      </w:r>
      <w:r w:rsidRPr="00113567">
        <w:fldChar w:fldCharType="separate"/>
      </w:r>
      <w:r w:rsidRPr="00113567">
        <w:rPr>
          <w:noProof/>
        </w:rPr>
        <w:t xml:space="preserve">Joe Kong, Xiaoxi Fan, and K.P. Chow, </w:t>
      </w:r>
      <w:r w:rsidRPr="00113567">
        <w:rPr>
          <w:i/>
          <w:noProof/>
        </w:rPr>
        <w:t>Privacy and Legal Issues in Cloud Computing: Introduction to Cloud Computing and Security Issues</w:t>
      </w:r>
      <w:r w:rsidRPr="00113567">
        <w:rPr>
          <w:noProof/>
        </w:rPr>
        <w:t xml:space="preserve"> (UK: Edwar Elgar Publishing, 2015).</w:t>
      </w:r>
      <w:r w:rsidRPr="00113567">
        <w:fldChar w:fldCharType="end"/>
      </w:r>
    </w:p>
  </w:footnote>
  <w:footnote w:id="99">
    <w:p w14:paraId="72D25663" w14:textId="77777777" w:rsidR="00EC504C" w:rsidRPr="00176A31" w:rsidRDefault="00EC504C" w:rsidP="00EC504C">
      <w:pPr>
        <w:pStyle w:val="FootnoteText"/>
        <w:ind w:firstLine="426"/>
      </w:pPr>
      <w:r w:rsidRPr="009B498D">
        <w:rPr>
          <w:rStyle w:val="FootnoteReference"/>
          <w:rFonts w:eastAsiaTheme="minorEastAsia"/>
        </w:rPr>
        <w:footnoteRef/>
      </w:r>
      <w:r>
        <w:t xml:space="preserve"> </w:t>
      </w:r>
      <w:r w:rsidRPr="00176A31">
        <w:fldChar w:fldCharType="begin" w:fldLock="1"/>
      </w:r>
      <w:r>
        <w:instrText>ADDIN CSL_CITATION {"citationItems":[{"id":"ITEM-1","itemData":{"URL":"https://us.norton.com/blog/wifi/why-hackers-love-public-wifi#","accessed":{"date-parts":[["2022","10","12"]]},"author":[{"dropping-particle":"","family":"Norton","given":"","non-dropping-particle":"","parse-names":false,"suffix":""}],"id":"ITEM-1","issued":{"date-parts":[["2019"]]},"title":"Why hackers love public Wi-Fi","type":"webpage"},"uris":["http://www.mendeley.com/documents/?uuid=6e8296dc-836d-4f2f-8dae-48a70719496f"]}],"mendeley":{"formattedCitation":"Norton, “Why Hackers Love Public Wi-Fi,” last modified 2019, accessed October 12, 2022, https://us.norton.com/blog/wifi/why-hackers-love-public-wifi#.","plainTextFormattedCitation":"Norton, “Why Hackers Love Public Wi-Fi,” last modified 2019, accessed October 12, 2022, https://us.norton.com/blog/wifi/why-hackers-love-public-wifi#.","previouslyFormattedCitation":"Norton, “Why Hackers Love Public Wi-Fi,” last modified 2019, accessed October 12, 2022, https://us.norton.com/blog/wifi/why-hackers-love-public-wifi#."},"properties":{"noteIndex":99},"schema":"https://github.com/citation-style-language/schema/raw/master/csl-citation.json"}</w:instrText>
      </w:r>
      <w:r w:rsidRPr="00176A31">
        <w:fldChar w:fldCharType="separate"/>
      </w:r>
      <w:r w:rsidRPr="00176A31">
        <w:rPr>
          <w:noProof/>
        </w:rPr>
        <w:t>Norton, “Why Hackers Love Public Wi-Fi,” last modified 2019, accessed October 12, 2022, https://us.norton.com/blog/wifi/why-hackers-love-public-wifi#.</w:t>
      </w:r>
      <w:r w:rsidRPr="00176A31">
        <w:fldChar w:fldCharType="end"/>
      </w:r>
    </w:p>
  </w:footnote>
  <w:footnote w:id="100">
    <w:p w14:paraId="0A491961" w14:textId="77777777" w:rsidR="00EC504C" w:rsidRPr="00E80066" w:rsidRDefault="00EC504C" w:rsidP="00EC504C">
      <w:pPr>
        <w:pStyle w:val="FootnoteText"/>
        <w:ind w:firstLine="426"/>
      </w:pPr>
      <w:r w:rsidRPr="009B498D">
        <w:rPr>
          <w:rStyle w:val="FootnoteReference"/>
          <w:rFonts w:eastAsiaTheme="minorEastAsia"/>
        </w:rPr>
        <w:footnoteRef/>
      </w:r>
      <w:r>
        <w:t xml:space="preserve"> </w:t>
      </w:r>
      <w:r w:rsidRPr="00E80066">
        <w:fldChar w:fldCharType="begin" w:fldLock="1"/>
      </w:r>
      <w:r>
        <w:instrText>ADDIN CSL_CITATION {"citationItems":[{"id":"ITEM-1","itemData":{"URL":"https://www.techtarget.com/searchsecurity/definition/phishing","accessed":{"date-parts":[["2022","10","16"]]},"author":[{"dropping-particle":"","family":"Gillis","given":"Alexander S.","non-dropping-particle":"","parse-names":false,"suffix":""}],"id":"ITEM-1","issued":{"date-parts":[["2020"]]},"title":"phishing","type":"webpage"},"uris":["http://www.mendeley.com/documents/?uuid=8949128f-8d3e-45b2-9e60-f9251ad7510c"]}],"mendeley":{"formattedCitation":"Alexander S. Gillis, “Phishing,” last modified 2020, accessed October 16, 2022, https://www.techtarget.com/searchsecurity/definition/phishing.","plainTextFormattedCitation":"Alexander S. Gillis, “Phishing,” last modified 2020, accessed October 16, 2022, https://www.techtarget.com/searchsecurity/definition/phishing.","previouslyFormattedCitation":"Alexander S. Gillis, “Phishing,” last modified 2020, accessed October 16, 2022, https://www.techtarget.com/searchsecurity/definition/phishing."},"properties":{"noteIndex":100},"schema":"https://github.com/citation-style-language/schema/raw/master/csl-citation.json"}</w:instrText>
      </w:r>
      <w:r w:rsidRPr="00E80066">
        <w:fldChar w:fldCharType="separate"/>
      </w:r>
      <w:r w:rsidRPr="00E80066">
        <w:rPr>
          <w:noProof/>
        </w:rPr>
        <w:t>Alexander S. Gillis, “Phishing,” last modified 2020, accessed October 16, 2022, https://www.techtarget.com/searchsecurity/definition/phishing.</w:t>
      </w:r>
      <w:r w:rsidRPr="00E80066">
        <w:fldChar w:fldCharType="end"/>
      </w:r>
    </w:p>
  </w:footnote>
  <w:footnote w:id="101">
    <w:p w14:paraId="315F4E6B" w14:textId="77777777" w:rsidR="00EC504C" w:rsidRPr="00D84FFF" w:rsidRDefault="00EC504C" w:rsidP="00EC504C">
      <w:pPr>
        <w:pStyle w:val="FootnoteText"/>
        <w:ind w:firstLine="567"/>
      </w:pPr>
      <w:r w:rsidRPr="009B498D">
        <w:rPr>
          <w:rStyle w:val="FootnoteReference"/>
          <w:rFonts w:eastAsiaTheme="minorEastAsia"/>
        </w:rPr>
        <w:footnoteRef/>
      </w:r>
      <w:r>
        <w:t xml:space="preserve"> </w:t>
      </w:r>
      <w:r w:rsidRPr="00D84FFF">
        <w:fldChar w:fldCharType="begin" w:fldLock="1"/>
      </w:r>
      <w:r>
        <w:instrText>ADDIN CSL_CITATION {"citationItems":[{"id":"ITEM-1","itemData":{"author":[{"dropping-particle":"","family":"Ollmann","given":"Gunter","non-dropping-particle":"","parse-names":false,"suffix":""}],"container-title":"IBM","id":"ITEM-1","issued":{"date-parts":[["2007"]]},"title":"The Phishing Guide","type":"report"},"uris":["http://www.mendeley.com/documents/?uuid=eae1845a-17e6-4c04-870d-853beba2dd2e"]}],"mendeley":{"formattedCitation":"Gunter Ollmann, &lt;i&gt;The Phishing Guide&lt;/i&gt;, &lt;i&gt;IBM&lt;/i&gt;, 2007, https://www.scribd.com/document/219802442/The-Phishing-Guide-Understanding-Preventing-Phishing-Attacks-IBM-Internet-Security-Systems.","plainTextFormattedCitation":"Gunter Ollmann, The Phishing Guide, IBM, 2007, https://www.scribd.com/document/219802442/The-Phishing-Guide-Understanding-Preventing-Phishing-Attacks-IBM-Internet-Security-Systems.","previouslyFormattedCitation":"Gunter Ollmann, &lt;i&gt;The Phishing Guide&lt;/i&gt;, &lt;i&gt;IBM&lt;/i&gt;, 2007, https://www.scribd.com/document/219802442/The-Phishing-Guide-Understanding-Preventing-Phishing-Attacks-IBM-Internet-Security-Systems."},"properties":{"noteIndex":101},"schema":"https://github.com/citation-style-language/schema/raw/master/csl-citation.json"}</w:instrText>
      </w:r>
      <w:r w:rsidRPr="00D84FFF">
        <w:fldChar w:fldCharType="separate"/>
      </w:r>
      <w:r w:rsidRPr="00D84FFF">
        <w:rPr>
          <w:noProof/>
        </w:rPr>
        <w:t xml:space="preserve">Gunter Ollmann, </w:t>
      </w:r>
      <w:r w:rsidRPr="00D84FFF">
        <w:rPr>
          <w:i/>
          <w:noProof/>
        </w:rPr>
        <w:t>The Phishing Guide</w:t>
      </w:r>
      <w:r w:rsidRPr="00D84FFF">
        <w:rPr>
          <w:noProof/>
        </w:rPr>
        <w:t xml:space="preserve">, </w:t>
      </w:r>
      <w:r w:rsidRPr="00D84FFF">
        <w:rPr>
          <w:i/>
          <w:noProof/>
        </w:rPr>
        <w:t>IBM</w:t>
      </w:r>
      <w:r w:rsidRPr="00D84FFF">
        <w:rPr>
          <w:noProof/>
        </w:rPr>
        <w:t>, 2007, https://www.scribd.com/document/219802442/The-Phishing-Guide-Understanding-Preventing-Phishing-Attacks-IBM-Internet-Security-Systems.</w:t>
      </w:r>
      <w:r w:rsidRPr="00D84FFF">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82329" w14:textId="77777777" w:rsidR="00DA5C92" w:rsidRDefault="00DA5C92">
    <w:pPr>
      <w:spacing w:line="20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DA72C" w14:textId="77777777" w:rsidR="00DA5C92" w:rsidRPr="0087184D" w:rsidRDefault="00DA5C92" w:rsidP="00871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14F1"/>
    <w:multiLevelType w:val="hybridMultilevel"/>
    <w:tmpl w:val="47DC4C7E"/>
    <w:lvl w:ilvl="0" w:tplc="C478BA8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35D31D5"/>
    <w:multiLevelType w:val="hybridMultilevel"/>
    <w:tmpl w:val="14D6A7D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3963780"/>
    <w:multiLevelType w:val="hybridMultilevel"/>
    <w:tmpl w:val="B7D26E0C"/>
    <w:lvl w:ilvl="0" w:tplc="3809000F">
      <w:start w:val="1"/>
      <w:numFmt w:val="decimal"/>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0A5D4631"/>
    <w:multiLevelType w:val="multilevel"/>
    <w:tmpl w:val="178C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94DC5"/>
    <w:multiLevelType w:val="hybridMultilevel"/>
    <w:tmpl w:val="843A097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35A62F5"/>
    <w:multiLevelType w:val="hybridMultilevel"/>
    <w:tmpl w:val="2A9278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3622C74"/>
    <w:multiLevelType w:val="hybridMultilevel"/>
    <w:tmpl w:val="DF901644"/>
    <w:lvl w:ilvl="0" w:tplc="461E7DB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28BF5EB4"/>
    <w:multiLevelType w:val="hybridMultilevel"/>
    <w:tmpl w:val="F4B8C5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7FE386B"/>
    <w:multiLevelType w:val="hybridMultilevel"/>
    <w:tmpl w:val="592A05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82647C3"/>
    <w:multiLevelType w:val="hybridMultilevel"/>
    <w:tmpl w:val="39828836"/>
    <w:lvl w:ilvl="0" w:tplc="6E5E8E7A">
      <w:start w:val="1"/>
      <w:numFmt w:val="bullet"/>
      <w:lvlText w:val="□"/>
      <w:lvlJc w:val="left"/>
      <w:pPr>
        <w:ind w:left="720" w:hanging="360"/>
      </w:pPr>
      <w:rPr>
        <w:rFonts w:ascii="Courier New" w:hAnsi="Courier New"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3ED0011B"/>
    <w:multiLevelType w:val="hybridMultilevel"/>
    <w:tmpl w:val="E86E61C2"/>
    <w:lvl w:ilvl="0" w:tplc="A4F83DEC">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4AC24772"/>
    <w:multiLevelType w:val="hybridMultilevel"/>
    <w:tmpl w:val="6254A5D2"/>
    <w:lvl w:ilvl="0" w:tplc="6E5E8E7A">
      <w:start w:val="1"/>
      <w:numFmt w:val="bullet"/>
      <w:lvlText w:val="□"/>
      <w:lvlJc w:val="left"/>
      <w:pPr>
        <w:ind w:left="720" w:hanging="360"/>
      </w:pPr>
      <w:rPr>
        <w:rFonts w:ascii="Courier New" w:hAnsi="Courier New"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52FD09B8"/>
    <w:multiLevelType w:val="hybridMultilevel"/>
    <w:tmpl w:val="3DF6838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5A27067"/>
    <w:multiLevelType w:val="hybridMultilevel"/>
    <w:tmpl w:val="058AE7EA"/>
    <w:lvl w:ilvl="0" w:tplc="28A842EE">
      <w:start w:val="5"/>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5B1044E0"/>
    <w:multiLevelType w:val="hybridMultilevel"/>
    <w:tmpl w:val="72EC26A0"/>
    <w:lvl w:ilvl="0" w:tplc="C36CA8F6">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5FC378EB"/>
    <w:multiLevelType w:val="multilevel"/>
    <w:tmpl w:val="2F8A51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68861DF9"/>
    <w:multiLevelType w:val="hybridMultilevel"/>
    <w:tmpl w:val="2C4014A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6DB80D0D"/>
    <w:multiLevelType w:val="hybridMultilevel"/>
    <w:tmpl w:val="EA0422E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F3C1656"/>
    <w:multiLevelType w:val="hybridMultilevel"/>
    <w:tmpl w:val="E91EE11E"/>
    <w:lvl w:ilvl="0" w:tplc="B3F41BB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7FC046A2"/>
    <w:multiLevelType w:val="hybridMultilevel"/>
    <w:tmpl w:val="E71A5C80"/>
    <w:lvl w:ilvl="0" w:tplc="2FB0F00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15"/>
  </w:num>
  <w:num w:numId="2">
    <w:abstractNumId w:val="16"/>
  </w:num>
  <w:num w:numId="3">
    <w:abstractNumId w:val="3"/>
  </w:num>
  <w:num w:numId="4">
    <w:abstractNumId w:val="10"/>
  </w:num>
  <w:num w:numId="5">
    <w:abstractNumId w:val="19"/>
  </w:num>
  <w:num w:numId="6">
    <w:abstractNumId w:val="18"/>
  </w:num>
  <w:num w:numId="7">
    <w:abstractNumId w:val="11"/>
  </w:num>
  <w:num w:numId="8">
    <w:abstractNumId w:val="9"/>
  </w:num>
  <w:num w:numId="9">
    <w:abstractNumId w:val="2"/>
  </w:num>
  <w:num w:numId="10">
    <w:abstractNumId w:val="17"/>
  </w:num>
  <w:num w:numId="11">
    <w:abstractNumId w:val="8"/>
  </w:num>
  <w:num w:numId="12">
    <w:abstractNumId w:val="5"/>
  </w:num>
  <w:num w:numId="13">
    <w:abstractNumId w:val="14"/>
  </w:num>
  <w:num w:numId="14">
    <w:abstractNumId w:val="4"/>
  </w:num>
  <w:num w:numId="15">
    <w:abstractNumId w:val="7"/>
  </w:num>
  <w:num w:numId="16">
    <w:abstractNumId w:val="12"/>
  </w:num>
  <w:num w:numId="17">
    <w:abstractNumId w:val="1"/>
  </w:num>
  <w:num w:numId="18">
    <w:abstractNumId w:val="13"/>
  </w:num>
  <w:num w:numId="19">
    <w:abstractNumId w:val="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2tTQ1NLIwNTcwMzBQ0lEKTi0uzszPAykwNKwFADXAGFotAAAA"/>
  </w:docVars>
  <w:rsids>
    <w:rsidRoot w:val="00F6048E"/>
    <w:rsid w:val="00000F93"/>
    <w:rsid w:val="00001383"/>
    <w:rsid w:val="00002B2D"/>
    <w:rsid w:val="000137A7"/>
    <w:rsid w:val="000156E3"/>
    <w:rsid w:val="000251D4"/>
    <w:rsid w:val="00030B80"/>
    <w:rsid w:val="00030FA2"/>
    <w:rsid w:val="00032D74"/>
    <w:rsid w:val="00033B17"/>
    <w:rsid w:val="00042FA2"/>
    <w:rsid w:val="00051FC9"/>
    <w:rsid w:val="0006713D"/>
    <w:rsid w:val="00075A4E"/>
    <w:rsid w:val="000832E0"/>
    <w:rsid w:val="00085940"/>
    <w:rsid w:val="00086F1B"/>
    <w:rsid w:val="0009529A"/>
    <w:rsid w:val="000A16AE"/>
    <w:rsid w:val="000A282C"/>
    <w:rsid w:val="000B21B5"/>
    <w:rsid w:val="000B54C0"/>
    <w:rsid w:val="000B62BE"/>
    <w:rsid w:val="000C184E"/>
    <w:rsid w:val="000C1BDF"/>
    <w:rsid w:val="000C6396"/>
    <w:rsid w:val="000C7875"/>
    <w:rsid w:val="000D065F"/>
    <w:rsid w:val="000D09E5"/>
    <w:rsid w:val="000D0F54"/>
    <w:rsid w:val="000D74C3"/>
    <w:rsid w:val="000E0244"/>
    <w:rsid w:val="000E4B50"/>
    <w:rsid w:val="000F01A1"/>
    <w:rsid w:val="000F31F7"/>
    <w:rsid w:val="000F3725"/>
    <w:rsid w:val="000F581E"/>
    <w:rsid w:val="000F76D9"/>
    <w:rsid w:val="00101F1F"/>
    <w:rsid w:val="001027BF"/>
    <w:rsid w:val="001139D4"/>
    <w:rsid w:val="00114412"/>
    <w:rsid w:val="00116ED8"/>
    <w:rsid w:val="00120F8C"/>
    <w:rsid w:val="00122D24"/>
    <w:rsid w:val="00135BAE"/>
    <w:rsid w:val="00137195"/>
    <w:rsid w:val="00142AEA"/>
    <w:rsid w:val="0015314D"/>
    <w:rsid w:val="001619F7"/>
    <w:rsid w:val="00164E9E"/>
    <w:rsid w:val="00170AD3"/>
    <w:rsid w:val="00173AA4"/>
    <w:rsid w:val="001762AC"/>
    <w:rsid w:val="001765D7"/>
    <w:rsid w:val="001865C9"/>
    <w:rsid w:val="00186C17"/>
    <w:rsid w:val="001878A4"/>
    <w:rsid w:val="00191D59"/>
    <w:rsid w:val="00196A8A"/>
    <w:rsid w:val="001A34F9"/>
    <w:rsid w:val="001A3AD5"/>
    <w:rsid w:val="001B08DA"/>
    <w:rsid w:val="001B2A5D"/>
    <w:rsid w:val="001B4C35"/>
    <w:rsid w:val="001C01EB"/>
    <w:rsid w:val="001C0F21"/>
    <w:rsid w:val="001C1DF8"/>
    <w:rsid w:val="001D311C"/>
    <w:rsid w:val="001D3262"/>
    <w:rsid w:val="001D7E68"/>
    <w:rsid w:val="001E71E3"/>
    <w:rsid w:val="001E7CF3"/>
    <w:rsid w:val="001F0F83"/>
    <w:rsid w:val="001F3A8F"/>
    <w:rsid w:val="001F48E6"/>
    <w:rsid w:val="0020149B"/>
    <w:rsid w:val="00206D5E"/>
    <w:rsid w:val="00206EDB"/>
    <w:rsid w:val="0021048E"/>
    <w:rsid w:val="00210D62"/>
    <w:rsid w:val="00212755"/>
    <w:rsid w:val="002167C7"/>
    <w:rsid w:val="00217EB9"/>
    <w:rsid w:val="0022750B"/>
    <w:rsid w:val="00241578"/>
    <w:rsid w:val="00243DD9"/>
    <w:rsid w:val="002445D9"/>
    <w:rsid w:val="00253A30"/>
    <w:rsid w:val="0025588E"/>
    <w:rsid w:val="00260864"/>
    <w:rsid w:val="00271501"/>
    <w:rsid w:val="00275576"/>
    <w:rsid w:val="00276F13"/>
    <w:rsid w:val="00283020"/>
    <w:rsid w:val="00283D3F"/>
    <w:rsid w:val="00296159"/>
    <w:rsid w:val="002A153A"/>
    <w:rsid w:val="002B4FBF"/>
    <w:rsid w:val="002B71A8"/>
    <w:rsid w:val="002C1023"/>
    <w:rsid w:val="002C1304"/>
    <w:rsid w:val="002C6221"/>
    <w:rsid w:val="002D114D"/>
    <w:rsid w:val="002D7873"/>
    <w:rsid w:val="002D79B8"/>
    <w:rsid w:val="002D7E6E"/>
    <w:rsid w:val="002E57AF"/>
    <w:rsid w:val="002F79C0"/>
    <w:rsid w:val="003045C0"/>
    <w:rsid w:val="003048DD"/>
    <w:rsid w:val="00312599"/>
    <w:rsid w:val="003151B0"/>
    <w:rsid w:val="0031715D"/>
    <w:rsid w:val="003329F2"/>
    <w:rsid w:val="003353C6"/>
    <w:rsid w:val="003377E5"/>
    <w:rsid w:val="00354C23"/>
    <w:rsid w:val="00356600"/>
    <w:rsid w:val="00360811"/>
    <w:rsid w:val="00375754"/>
    <w:rsid w:val="003759AF"/>
    <w:rsid w:val="00376FD1"/>
    <w:rsid w:val="0038089C"/>
    <w:rsid w:val="003825CD"/>
    <w:rsid w:val="0038329C"/>
    <w:rsid w:val="00383CBD"/>
    <w:rsid w:val="00385EE8"/>
    <w:rsid w:val="0038772F"/>
    <w:rsid w:val="003912DC"/>
    <w:rsid w:val="003A0C26"/>
    <w:rsid w:val="003B1F9D"/>
    <w:rsid w:val="003B3024"/>
    <w:rsid w:val="003B3AE8"/>
    <w:rsid w:val="003B58A8"/>
    <w:rsid w:val="003C14B7"/>
    <w:rsid w:val="003C2C09"/>
    <w:rsid w:val="003C357B"/>
    <w:rsid w:val="003C4DCF"/>
    <w:rsid w:val="003C6CAB"/>
    <w:rsid w:val="003D3384"/>
    <w:rsid w:val="003D53A2"/>
    <w:rsid w:val="003E5BF5"/>
    <w:rsid w:val="00400002"/>
    <w:rsid w:val="00401713"/>
    <w:rsid w:val="00402090"/>
    <w:rsid w:val="004060E0"/>
    <w:rsid w:val="00407F01"/>
    <w:rsid w:val="0041105F"/>
    <w:rsid w:val="00426C8C"/>
    <w:rsid w:val="00430166"/>
    <w:rsid w:val="00432139"/>
    <w:rsid w:val="004351C4"/>
    <w:rsid w:val="00437DC4"/>
    <w:rsid w:val="00450C2B"/>
    <w:rsid w:val="00452EFF"/>
    <w:rsid w:val="00456DC5"/>
    <w:rsid w:val="00461E60"/>
    <w:rsid w:val="0046352A"/>
    <w:rsid w:val="0046495C"/>
    <w:rsid w:val="00466A48"/>
    <w:rsid w:val="00466C0D"/>
    <w:rsid w:val="0047136F"/>
    <w:rsid w:val="00476CF0"/>
    <w:rsid w:val="004914D3"/>
    <w:rsid w:val="00494457"/>
    <w:rsid w:val="00494912"/>
    <w:rsid w:val="00497DB2"/>
    <w:rsid w:val="004A3C43"/>
    <w:rsid w:val="004A6F2A"/>
    <w:rsid w:val="004A7075"/>
    <w:rsid w:val="004B36AA"/>
    <w:rsid w:val="004B6748"/>
    <w:rsid w:val="004C2502"/>
    <w:rsid w:val="004C2F22"/>
    <w:rsid w:val="004C546A"/>
    <w:rsid w:val="004C646F"/>
    <w:rsid w:val="004C7B99"/>
    <w:rsid w:val="004D3418"/>
    <w:rsid w:val="004D3D22"/>
    <w:rsid w:val="004D400A"/>
    <w:rsid w:val="004D5363"/>
    <w:rsid w:val="004D59E7"/>
    <w:rsid w:val="004D5A94"/>
    <w:rsid w:val="004D6572"/>
    <w:rsid w:val="004D6C05"/>
    <w:rsid w:val="004D7366"/>
    <w:rsid w:val="004E34E1"/>
    <w:rsid w:val="004F0B52"/>
    <w:rsid w:val="004F3176"/>
    <w:rsid w:val="004F507A"/>
    <w:rsid w:val="004F7B73"/>
    <w:rsid w:val="0050075B"/>
    <w:rsid w:val="0050104B"/>
    <w:rsid w:val="00506417"/>
    <w:rsid w:val="00507C51"/>
    <w:rsid w:val="00512A8A"/>
    <w:rsid w:val="00515E0E"/>
    <w:rsid w:val="00522DCA"/>
    <w:rsid w:val="00533CA6"/>
    <w:rsid w:val="005352C1"/>
    <w:rsid w:val="00540281"/>
    <w:rsid w:val="00541D2A"/>
    <w:rsid w:val="0054581F"/>
    <w:rsid w:val="0054591B"/>
    <w:rsid w:val="00547F9F"/>
    <w:rsid w:val="00552898"/>
    <w:rsid w:val="00556D8B"/>
    <w:rsid w:val="00562895"/>
    <w:rsid w:val="0056475E"/>
    <w:rsid w:val="00565629"/>
    <w:rsid w:val="00566526"/>
    <w:rsid w:val="00573EE6"/>
    <w:rsid w:val="00580992"/>
    <w:rsid w:val="00581899"/>
    <w:rsid w:val="00591BFA"/>
    <w:rsid w:val="00592401"/>
    <w:rsid w:val="005929E8"/>
    <w:rsid w:val="00593196"/>
    <w:rsid w:val="00595782"/>
    <w:rsid w:val="005A20E4"/>
    <w:rsid w:val="005A53AC"/>
    <w:rsid w:val="005A5F5E"/>
    <w:rsid w:val="005A6C11"/>
    <w:rsid w:val="005B06C6"/>
    <w:rsid w:val="005B1BF9"/>
    <w:rsid w:val="005B60EF"/>
    <w:rsid w:val="005B77A8"/>
    <w:rsid w:val="005C33E0"/>
    <w:rsid w:val="005C4405"/>
    <w:rsid w:val="005C4D09"/>
    <w:rsid w:val="005D2423"/>
    <w:rsid w:val="005D5C92"/>
    <w:rsid w:val="005D7457"/>
    <w:rsid w:val="005E683D"/>
    <w:rsid w:val="005E6D58"/>
    <w:rsid w:val="005F072F"/>
    <w:rsid w:val="005F0857"/>
    <w:rsid w:val="005F10DB"/>
    <w:rsid w:val="005F6502"/>
    <w:rsid w:val="00600D5E"/>
    <w:rsid w:val="00607187"/>
    <w:rsid w:val="00611340"/>
    <w:rsid w:val="00611EB7"/>
    <w:rsid w:val="0061217B"/>
    <w:rsid w:val="0061260D"/>
    <w:rsid w:val="00613F6D"/>
    <w:rsid w:val="006175EB"/>
    <w:rsid w:val="00617AF7"/>
    <w:rsid w:val="00624198"/>
    <w:rsid w:val="006267BC"/>
    <w:rsid w:val="006349A2"/>
    <w:rsid w:val="00634B2A"/>
    <w:rsid w:val="00637CC1"/>
    <w:rsid w:val="00640966"/>
    <w:rsid w:val="00640DF9"/>
    <w:rsid w:val="00641DF9"/>
    <w:rsid w:val="00654CB8"/>
    <w:rsid w:val="00660292"/>
    <w:rsid w:val="00671104"/>
    <w:rsid w:val="00675459"/>
    <w:rsid w:val="00675D05"/>
    <w:rsid w:val="006764B7"/>
    <w:rsid w:val="00676668"/>
    <w:rsid w:val="006778ED"/>
    <w:rsid w:val="006800B6"/>
    <w:rsid w:val="006809DA"/>
    <w:rsid w:val="00682921"/>
    <w:rsid w:val="00684B0B"/>
    <w:rsid w:val="00685002"/>
    <w:rsid w:val="0068663E"/>
    <w:rsid w:val="00687061"/>
    <w:rsid w:val="0069662F"/>
    <w:rsid w:val="0069670A"/>
    <w:rsid w:val="006A0CD5"/>
    <w:rsid w:val="006A3863"/>
    <w:rsid w:val="006A6F61"/>
    <w:rsid w:val="006B193E"/>
    <w:rsid w:val="006B1D83"/>
    <w:rsid w:val="006B3D27"/>
    <w:rsid w:val="006B7929"/>
    <w:rsid w:val="006C107B"/>
    <w:rsid w:val="006C1360"/>
    <w:rsid w:val="006C1BF1"/>
    <w:rsid w:val="006C3BEC"/>
    <w:rsid w:val="006D2E70"/>
    <w:rsid w:val="006D6112"/>
    <w:rsid w:val="006D7185"/>
    <w:rsid w:val="006E10BA"/>
    <w:rsid w:val="006E223E"/>
    <w:rsid w:val="006E2E90"/>
    <w:rsid w:val="006E53D0"/>
    <w:rsid w:val="006E7348"/>
    <w:rsid w:val="006F25C9"/>
    <w:rsid w:val="00700502"/>
    <w:rsid w:val="00704739"/>
    <w:rsid w:val="00720752"/>
    <w:rsid w:val="00720AF5"/>
    <w:rsid w:val="0072193A"/>
    <w:rsid w:val="007348E8"/>
    <w:rsid w:val="00737C19"/>
    <w:rsid w:val="00741EF2"/>
    <w:rsid w:val="00744151"/>
    <w:rsid w:val="00744F4B"/>
    <w:rsid w:val="00746936"/>
    <w:rsid w:val="00747D52"/>
    <w:rsid w:val="00751FEB"/>
    <w:rsid w:val="00754ACD"/>
    <w:rsid w:val="0076393E"/>
    <w:rsid w:val="007663C2"/>
    <w:rsid w:val="00772D18"/>
    <w:rsid w:val="00773D66"/>
    <w:rsid w:val="00773EFC"/>
    <w:rsid w:val="00780035"/>
    <w:rsid w:val="00782AA7"/>
    <w:rsid w:val="007843EE"/>
    <w:rsid w:val="00786B16"/>
    <w:rsid w:val="00787F86"/>
    <w:rsid w:val="0079300D"/>
    <w:rsid w:val="007969F6"/>
    <w:rsid w:val="00796FC9"/>
    <w:rsid w:val="007A01E9"/>
    <w:rsid w:val="007A0E09"/>
    <w:rsid w:val="007A2A0D"/>
    <w:rsid w:val="007A2A28"/>
    <w:rsid w:val="007B0570"/>
    <w:rsid w:val="007B1AB6"/>
    <w:rsid w:val="007B2B63"/>
    <w:rsid w:val="007B5304"/>
    <w:rsid w:val="007C0187"/>
    <w:rsid w:val="007C2576"/>
    <w:rsid w:val="007C4E54"/>
    <w:rsid w:val="007C6E2C"/>
    <w:rsid w:val="007C770A"/>
    <w:rsid w:val="007D227F"/>
    <w:rsid w:val="007D3C2F"/>
    <w:rsid w:val="007E189C"/>
    <w:rsid w:val="007E1FA7"/>
    <w:rsid w:val="007E33EA"/>
    <w:rsid w:val="007F133E"/>
    <w:rsid w:val="007F2292"/>
    <w:rsid w:val="007F36CE"/>
    <w:rsid w:val="007F3841"/>
    <w:rsid w:val="007F509C"/>
    <w:rsid w:val="007F670E"/>
    <w:rsid w:val="00807CB6"/>
    <w:rsid w:val="00812DE6"/>
    <w:rsid w:val="008153D9"/>
    <w:rsid w:val="00815546"/>
    <w:rsid w:val="00822FE2"/>
    <w:rsid w:val="00823FCF"/>
    <w:rsid w:val="008262A0"/>
    <w:rsid w:val="008304F6"/>
    <w:rsid w:val="008311A2"/>
    <w:rsid w:val="00832407"/>
    <w:rsid w:val="00832E61"/>
    <w:rsid w:val="00835C25"/>
    <w:rsid w:val="0083606A"/>
    <w:rsid w:val="00840166"/>
    <w:rsid w:val="00842D5B"/>
    <w:rsid w:val="00843319"/>
    <w:rsid w:val="00844256"/>
    <w:rsid w:val="00844ECF"/>
    <w:rsid w:val="00847FAB"/>
    <w:rsid w:val="008530FE"/>
    <w:rsid w:val="0085772E"/>
    <w:rsid w:val="00857D15"/>
    <w:rsid w:val="00860796"/>
    <w:rsid w:val="00860BFE"/>
    <w:rsid w:val="00866E36"/>
    <w:rsid w:val="00870D45"/>
    <w:rsid w:val="0087184D"/>
    <w:rsid w:val="008803FD"/>
    <w:rsid w:val="0088496B"/>
    <w:rsid w:val="00890983"/>
    <w:rsid w:val="00891401"/>
    <w:rsid w:val="008920A8"/>
    <w:rsid w:val="008950C0"/>
    <w:rsid w:val="008A2BAF"/>
    <w:rsid w:val="008A320B"/>
    <w:rsid w:val="008A4BB0"/>
    <w:rsid w:val="008A6527"/>
    <w:rsid w:val="008A7024"/>
    <w:rsid w:val="008A7AD8"/>
    <w:rsid w:val="008A7D52"/>
    <w:rsid w:val="008B1DFC"/>
    <w:rsid w:val="008B3875"/>
    <w:rsid w:val="008B52C8"/>
    <w:rsid w:val="008C0BA2"/>
    <w:rsid w:val="008D09D5"/>
    <w:rsid w:val="008D2FDF"/>
    <w:rsid w:val="008D423F"/>
    <w:rsid w:val="008D751B"/>
    <w:rsid w:val="008E08D2"/>
    <w:rsid w:val="00906372"/>
    <w:rsid w:val="00907507"/>
    <w:rsid w:val="00910FC1"/>
    <w:rsid w:val="00912D18"/>
    <w:rsid w:val="0091317B"/>
    <w:rsid w:val="0091320E"/>
    <w:rsid w:val="00914A87"/>
    <w:rsid w:val="00921FF6"/>
    <w:rsid w:val="00924553"/>
    <w:rsid w:val="009246D9"/>
    <w:rsid w:val="009275DB"/>
    <w:rsid w:val="00927D31"/>
    <w:rsid w:val="00927EFC"/>
    <w:rsid w:val="009336CC"/>
    <w:rsid w:val="00940BB1"/>
    <w:rsid w:val="009417D4"/>
    <w:rsid w:val="00942D1D"/>
    <w:rsid w:val="00944ACE"/>
    <w:rsid w:val="009457CF"/>
    <w:rsid w:val="009462F1"/>
    <w:rsid w:val="0094646F"/>
    <w:rsid w:val="00950467"/>
    <w:rsid w:val="00960E33"/>
    <w:rsid w:val="00962F9D"/>
    <w:rsid w:val="0096621C"/>
    <w:rsid w:val="00973B8E"/>
    <w:rsid w:val="00980BEB"/>
    <w:rsid w:val="00981840"/>
    <w:rsid w:val="009852CF"/>
    <w:rsid w:val="00992325"/>
    <w:rsid w:val="00993924"/>
    <w:rsid w:val="009957DC"/>
    <w:rsid w:val="009A2B60"/>
    <w:rsid w:val="009A433C"/>
    <w:rsid w:val="009A74C9"/>
    <w:rsid w:val="009B3B28"/>
    <w:rsid w:val="009B54F8"/>
    <w:rsid w:val="009B5817"/>
    <w:rsid w:val="009B7A5B"/>
    <w:rsid w:val="009B7CEF"/>
    <w:rsid w:val="009C346C"/>
    <w:rsid w:val="009D0400"/>
    <w:rsid w:val="009D3EDC"/>
    <w:rsid w:val="009E07E3"/>
    <w:rsid w:val="009E1464"/>
    <w:rsid w:val="009E1FCF"/>
    <w:rsid w:val="009E58DD"/>
    <w:rsid w:val="009E6D02"/>
    <w:rsid w:val="009F13D3"/>
    <w:rsid w:val="009F2BAA"/>
    <w:rsid w:val="009F3A23"/>
    <w:rsid w:val="00A000EB"/>
    <w:rsid w:val="00A00B96"/>
    <w:rsid w:val="00A02AA4"/>
    <w:rsid w:val="00A05A4F"/>
    <w:rsid w:val="00A06FAD"/>
    <w:rsid w:val="00A141E5"/>
    <w:rsid w:val="00A22398"/>
    <w:rsid w:val="00A2452B"/>
    <w:rsid w:val="00A25226"/>
    <w:rsid w:val="00A32E78"/>
    <w:rsid w:val="00A36781"/>
    <w:rsid w:val="00A402E5"/>
    <w:rsid w:val="00A43840"/>
    <w:rsid w:val="00A50BCA"/>
    <w:rsid w:val="00A541CF"/>
    <w:rsid w:val="00A66625"/>
    <w:rsid w:val="00A75077"/>
    <w:rsid w:val="00A8770C"/>
    <w:rsid w:val="00A90343"/>
    <w:rsid w:val="00A94932"/>
    <w:rsid w:val="00AA0E6C"/>
    <w:rsid w:val="00AA0ECB"/>
    <w:rsid w:val="00AA7B7F"/>
    <w:rsid w:val="00AB10CB"/>
    <w:rsid w:val="00AB30DE"/>
    <w:rsid w:val="00AB43EB"/>
    <w:rsid w:val="00AB54DF"/>
    <w:rsid w:val="00AB6045"/>
    <w:rsid w:val="00AC4931"/>
    <w:rsid w:val="00AC52F1"/>
    <w:rsid w:val="00AD09F4"/>
    <w:rsid w:val="00AD399C"/>
    <w:rsid w:val="00AD474C"/>
    <w:rsid w:val="00AD620C"/>
    <w:rsid w:val="00AE1D3F"/>
    <w:rsid w:val="00AE4994"/>
    <w:rsid w:val="00AE6798"/>
    <w:rsid w:val="00AF02CF"/>
    <w:rsid w:val="00AF15AA"/>
    <w:rsid w:val="00AF2F00"/>
    <w:rsid w:val="00AF6260"/>
    <w:rsid w:val="00AF7EEC"/>
    <w:rsid w:val="00B008B2"/>
    <w:rsid w:val="00B0290A"/>
    <w:rsid w:val="00B0629B"/>
    <w:rsid w:val="00B075AC"/>
    <w:rsid w:val="00B22C84"/>
    <w:rsid w:val="00B235F4"/>
    <w:rsid w:val="00B243EC"/>
    <w:rsid w:val="00B32F1A"/>
    <w:rsid w:val="00B37C57"/>
    <w:rsid w:val="00B419C7"/>
    <w:rsid w:val="00B42BD7"/>
    <w:rsid w:val="00B47B74"/>
    <w:rsid w:val="00B517A1"/>
    <w:rsid w:val="00B5429D"/>
    <w:rsid w:val="00B5470F"/>
    <w:rsid w:val="00B579D1"/>
    <w:rsid w:val="00B57E74"/>
    <w:rsid w:val="00B60156"/>
    <w:rsid w:val="00B6584C"/>
    <w:rsid w:val="00B66EF9"/>
    <w:rsid w:val="00B670A7"/>
    <w:rsid w:val="00B7177C"/>
    <w:rsid w:val="00B74FD0"/>
    <w:rsid w:val="00B75615"/>
    <w:rsid w:val="00B8072F"/>
    <w:rsid w:val="00B82829"/>
    <w:rsid w:val="00B86341"/>
    <w:rsid w:val="00B87160"/>
    <w:rsid w:val="00B8731E"/>
    <w:rsid w:val="00B94144"/>
    <w:rsid w:val="00B9416A"/>
    <w:rsid w:val="00BA24AE"/>
    <w:rsid w:val="00BA3FD6"/>
    <w:rsid w:val="00BA6357"/>
    <w:rsid w:val="00BA7F38"/>
    <w:rsid w:val="00BB4CF2"/>
    <w:rsid w:val="00BC07C4"/>
    <w:rsid w:val="00BC2D0E"/>
    <w:rsid w:val="00BC36EE"/>
    <w:rsid w:val="00BD3A77"/>
    <w:rsid w:val="00BD6F19"/>
    <w:rsid w:val="00BE2A53"/>
    <w:rsid w:val="00BE2BC7"/>
    <w:rsid w:val="00BE48B5"/>
    <w:rsid w:val="00BE7235"/>
    <w:rsid w:val="00BF1085"/>
    <w:rsid w:val="00BF1DD8"/>
    <w:rsid w:val="00BF31C8"/>
    <w:rsid w:val="00BF4A07"/>
    <w:rsid w:val="00BF7D7F"/>
    <w:rsid w:val="00C01438"/>
    <w:rsid w:val="00C04353"/>
    <w:rsid w:val="00C0577E"/>
    <w:rsid w:val="00C0648B"/>
    <w:rsid w:val="00C12326"/>
    <w:rsid w:val="00C1239A"/>
    <w:rsid w:val="00C20B43"/>
    <w:rsid w:val="00C2167B"/>
    <w:rsid w:val="00C25F1B"/>
    <w:rsid w:val="00C26109"/>
    <w:rsid w:val="00C3210D"/>
    <w:rsid w:val="00C35988"/>
    <w:rsid w:val="00C45FC9"/>
    <w:rsid w:val="00C5197B"/>
    <w:rsid w:val="00C519E5"/>
    <w:rsid w:val="00C57A91"/>
    <w:rsid w:val="00C6011A"/>
    <w:rsid w:val="00C62D81"/>
    <w:rsid w:val="00C65DF4"/>
    <w:rsid w:val="00C74061"/>
    <w:rsid w:val="00C76006"/>
    <w:rsid w:val="00C76800"/>
    <w:rsid w:val="00C807AA"/>
    <w:rsid w:val="00C80AB0"/>
    <w:rsid w:val="00C860B9"/>
    <w:rsid w:val="00C9018F"/>
    <w:rsid w:val="00C97FBC"/>
    <w:rsid w:val="00CA1F4A"/>
    <w:rsid w:val="00CA4A9A"/>
    <w:rsid w:val="00CB0567"/>
    <w:rsid w:val="00CB0A95"/>
    <w:rsid w:val="00CB22F1"/>
    <w:rsid w:val="00CB33DB"/>
    <w:rsid w:val="00CB44A3"/>
    <w:rsid w:val="00CB5BB8"/>
    <w:rsid w:val="00CB7F96"/>
    <w:rsid w:val="00CC0B6B"/>
    <w:rsid w:val="00CC64DB"/>
    <w:rsid w:val="00CD0294"/>
    <w:rsid w:val="00CD33EB"/>
    <w:rsid w:val="00CD5197"/>
    <w:rsid w:val="00CD51D3"/>
    <w:rsid w:val="00CD6A18"/>
    <w:rsid w:val="00CE08EB"/>
    <w:rsid w:val="00CE10A3"/>
    <w:rsid w:val="00CE22C6"/>
    <w:rsid w:val="00CE333A"/>
    <w:rsid w:val="00CE341E"/>
    <w:rsid w:val="00CE34C2"/>
    <w:rsid w:val="00CE3E1C"/>
    <w:rsid w:val="00CE68D5"/>
    <w:rsid w:val="00CF0C07"/>
    <w:rsid w:val="00CF3102"/>
    <w:rsid w:val="00CF5A34"/>
    <w:rsid w:val="00CF6A3D"/>
    <w:rsid w:val="00CF766F"/>
    <w:rsid w:val="00D00D49"/>
    <w:rsid w:val="00D04298"/>
    <w:rsid w:val="00D06511"/>
    <w:rsid w:val="00D10424"/>
    <w:rsid w:val="00D20547"/>
    <w:rsid w:val="00D20F3E"/>
    <w:rsid w:val="00D23475"/>
    <w:rsid w:val="00D25E03"/>
    <w:rsid w:val="00D30A06"/>
    <w:rsid w:val="00D326B0"/>
    <w:rsid w:val="00D342A8"/>
    <w:rsid w:val="00D34ADC"/>
    <w:rsid w:val="00D407EC"/>
    <w:rsid w:val="00D44E72"/>
    <w:rsid w:val="00D45421"/>
    <w:rsid w:val="00D46D62"/>
    <w:rsid w:val="00D62F6F"/>
    <w:rsid w:val="00D63924"/>
    <w:rsid w:val="00D65845"/>
    <w:rsid w:val="00D719DE"/>
    <w:rsid w:val="00D7501A"/>
    <w:rsid w:val="00D75BA5"/>
    <w:rsid w:val="00D76ED3"/>
    <w:rsid w:val="00D843CD"/>
    <w:rsid w:val="00D93DD8"/>
    <w:rsid w:val="00DA2742"/>
    <w:rsid w:val="00DA2DD5"/>
    <w:rsid w:val="00DA5C92"/>
    <w:rsid w:val="00DA5FC8"/>
    <w:rsid w:val="00DA79BA"/>
    <w:rsid w:val="00DB3848"/>
    <w:rsid w:val="00DB3CFA"/>
    <w:rsid w:val="00DB4440"/>
    <w:rsid w:val="00DC11D7"/>
    <w:rsid w:val="00DD12E8"/>
    <w:rsid w:val="00DD14F1"/>
    <w:rsid w:val="00DD791E"/>
    <w:rsid w:val="00DE2BDE"/>
    <w:rsid w:val="00DE2DF5"/>
    <w:rsid w:val="00DE3106"/>
    <w:rsid w:val="00DE54EB"/>
    <w:rsid w:val="00DE670C"/>
    <w:rsid w:val="00DF5892"/>
    <w:rsid w:val="00DF66F5"/>
    <w:rsid w:val="00DF72EB"/>
    <w:rsid w:val="00DF7CE7"/>
    <w:rsid w:val="00E025DA"/>
    <w:rsid w:val="00E05DF3"/>
    <w:rsid w:val="00E06CC1"/>
    <w:rsid w:val="00E11A68"/>
    <w:rsid w:val="00E148C0"/>
    <w:rsid w:val="00E204AD"/>
    <w:rsid w:val="00E2371E"/>
    <w:rsid w:val="00E2463C"/>
    <w:rsid w:val="00E40193"/>
    <w:rsid w:val="00E41004"/>
    <w:rsid w:val="00E467EA"/>
    <w:rsid w:val="00E50B1E"/>
    <w:rsid w:val="00E52A2E"/>
    <w:rsid w:val="00E548A0"/>
    <w:rsid w:val="00E604F6"/>
    <w:rsid w:val="00E60B08"/>
    <w:rsid w:val="00E654D0"/>
    <w:rsid w:val="00E66A3A"/>
    <w:rsid w:val="00E70AAC"/>
    <w:rsid w:val="00E72DF5"/>
    <w:rsid w:val="00E74D2C"/>
    <w:rsid w:val="00E74FD3"/>
    <w:rsid w:val="00E8093F"/>
    <w:rsid w:val="00E816D4"/>
    <w:rsid w:val="00E828E3"/>
    <w:rsid w:val="00E82FEE"/>
    <w:rsid w:val="00E902C0"/>
    <w:rsid w:val="00E925EF"/>
    <w:rsid w:val="00E94FE7"/>
    <w:rsid w:val="00E970B8"/>
    <w:rsid w:val="00EA23E0"/>
    <w:rsid w:val="00EA3D1B"/>
    <w:rsid w:val="00EA41BD"/>
    <w:rsid w:val="00EA6A7C"/>
    <w:rsid w:val="00EB003D"/>
    <w:rsid w:val="00EB17A3"/>
    <w:rsid w:val="00EB32D2"/>
    <w:rsid w:val="00EB6BC1"/>
    <w:rsid w:val="00EC504C"/>
    <w:rsid w:val="00EC65C4"/>
    <w:rsid w:val="00EE3CCD"/>
    <w:rsid w:val="00EE6931"/>
    <w:rsid w:val="00EF0695"/>
    <w:rsid w:val="00EF1FC1"/>
    <w:rsid w:val="00EF610D"/>
    <w:rsid w:val="00EF76AA"/>
    <w:rsid w:val="00F02B57"/>
    <w:rsid w:val="00F03A0E"/>
    <w:rsid w:val="00F05930"/>
    <w:rsid w:val="00F05FF6"/>
    <w:rsid w:val="00F061C3"/>
    <w:rsid w:val="00F1088B"/>
    <w:rsid w:val="00F10B15"/>
    <w:rsid w:val="00F11F10"/>
    <w:rsid w:val="00F12DFE"/>
    <w:rsid w:val="00F153D2"/>
    <w:rsid w:val="00F20759"/>
    <w:rsid w:val="00F252A0"/>
    <w:rsid w:val="00F265F3"/>
    <w:rsid w:val="00F30794"/>
    <w:rsid w:val="00F35980"/>
    <w:rsid w:val="00F427CA"/>
    <w:rsid w:val="00F43B45"/>
    <w:rsid w:val="00F444DD"/>
    <w:rsid w:val="00F44CB1"/>
    <w:rsid w:val="00F45882"/>
    <w:rsid w:val="00F51E06"/>
    <w:rsid w:val="00F6048E"/>
    <w:rsid w:val="00F61C38"/>
    <w:rsid w:val="00F66806"/>
    <w:rsid w:val="00F70EC1"/>
    <w:rsid w:val="00F72B7E"/>
    <w:rsid w:val="00F72EF7"/>
    <w:rsid w:val="00F759CF"/>
    <w:rsid w:val="00F7749F"/>
    <w:rsid w:val="00F81767"/>
    <w:rsid w:val="00F821A0"/>
    <w:rsid w:val="00F85188"/>
    <w:rsid w:val="00F9224D"/>
    <w:rsid w:val="00F97315"/>
    <w:rsid w:val="00FA394F"/>
    <w:rsid w:val="00FA48A4"/>
    <w:rsid w:val="00FA713E"/>
    <w:rsid w:val="00FB044C"/>
    <w:rsid w:val="00FB0749"/>
    <w:rsid w:val="00FB0D84"/>
    <w:rsid w:val="00FB1251"/>
    <w:rsid w:val="00FB603E"/>
    <w:rsid w:val="00FC04FF"/>
    <w:rsid w:val="00FD1762"/>
    <w:rsid w:val="00FD5C83"/>
    <w:rsid w:val="00FD791E"/>
    <w:rsid w:val="00FE2A89"/>
    <w:rsid w:val="00FE3AA1"/>
    <w:rsid w:val="00FE483D"/>
    <w:rsid w:val="00FF0175"/>
    <w:rsid w:val="00FF0922"/>
    <w:rsid w:val="00FF23CC"/>
    <w:rsid w:val="00FF2FE8"/>
    <w:rsid w:val="00FF3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07A20"/>
  <w15:docId w15:val="{F1B88CEE-7C6F-4BBD-B804-93A98206B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C52F1"/>
    <w:pPr>
      <w:tabs>
        <w:tab w:val="center" w:pos="4680"/>
        <w:tab w:val="right" w:pos="9360"/>
      </w:tabs>
    </w:pPr>
  </w:style>
  <w:style w:type="character" w:customStyle="1" w:styleId="HeaderChar">
    <w:name w:val="Header Char"/>
    <w:basedOn w:val="DefaultParagraphFont"/>
    <w:link w:val="Header"/>
    <w:uiPriority w:val="99"/>
    <w:rsid w:val="00AC52F1"/>
  </w:style>
  <w:style w:type="paragraph" w:styleId="Footer">
    <w:name w:val="footer"/>
    <w:basedOn w:val="Normal"/>
    <w:link w:val="FooterChar"/>
    <w:uiPriority w:val="99"/>
    <w:unhideWhenUsed/>
    <w:rsid w:val="00AC52F1"/>
    <w:pPr>
      <w:tabs>
        <w:tab w:val="center" w:pos="4680"/>
        <w:tab w:val="right" w:pos="9360"/>
      </w:tabs>
    </w:pPr>
  </w:style>
  <w:style w:type="character" w:customStyle="1" w:styleId="FooterChar">
    <w:name w:val="Footer Char"/>
    <w:basedOn w:val="DefaultParagraphFont"/>
    <w:link w:val="Footer"/>
    <w:uiPriority w:val="99"/>
    <w:rsid w:val="00AC52F1"/>
  </w:style>
  <w:style w:type="paragraph" w:styleId="ListParagraph">
    <w:name w:val="List Paragraph"/>
    <w:basedOn w:val="Normal"/>
    <w:link w:val="ListParagraphChar"/>
    <w:uiPriority w:val="34"/>
    <w:qFormat/>
    <w:rsid w:val="00C57A91"/>
    <w:pPr>
      <w:ind w:left="720"/>
      <w:contextualSpacing/>
    </w:pPr>
  </w:style>
  <w:style w:type="paragraph" w:styleId="NormalWeb">
    <w:name w:val="Normal (Web)"/>
    <w:basedOn w:val="Normal"/>
    <w:rsid w:val="001765D7"/>
    <w:pPr>
      <w:spacing w:before="100" w:beforeAutospacing="1" w:after="100" w:afterAutospacing="1"/>
    </w:pPr>
    <w:rPr>
      <w:sz w:val="24"/>
      <w:szCs w:val="24"/>
    </w:rPr>
  </w:style>
  <w:style w:type="paragraph" w:styleId="HTMLPreformatted">
    <w:name w:val="HTML Preformatted"/>
    <w:basedOn w:val="Normal"/>
    <w:link w:val="HTMLPreformattedChar"/>
    <w:uiPriority w:val="99"/>
    <w:semiHidden/>
    <w:unhideWhenUsed/>
    <w:rsid w:val="00A50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A50BCA"/>
    <w:rPr>
      <w:rFonts w:ascii="Courier New" w:hAnsi="Courier New" w:cs="Courier New"/>
      <w:lang w:val="en-GB" w:eastAsia="en-GB"/>
    </w:rPr>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Char,Char Char"/>
    <w:basedOn w:val="Normal"/>
    <w:link w:val="FootnoteTextChar"/>
    <w:uiPriority w:val="99"/>
    <w:unhideWhenUsed/>
    <w:rsid w:val="00773EFC"/>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Char Char1"/>
    <w:basedOn w:val="DefaultParagraphFont"/>
    <w:link w:val="FootnoteText"/>
    <w:uiPriority w:val="99"/>
    <w:rsid w:val="00773EFC"/>
  </w:style>
  <w:style w:type="character" w:styleId="FootnoteReference">
    <w:name w:val="footnote reference"/>
    <w:basedOn w:val="DefaultParagraphFont"/>
    <w:uiPriority w:val="99"/>
    <w:semiHidden/>
    <w:unhideWhenUsed/>
    <w:rsid w:val="00773EFC"/>
    <w:rPr>
      <w:vertAlign w:val="superscript"/>
    </w:rPr>
  </w:style>
  <w:style w:type="character" w:styleId="Hyperlink">
    <w:name w:val="Hyperlink"/>
    <w:basedOn w:val="DefaultParagraphFont"/>
    <w:uiPriority w:val="99"/>
    <w:unhideWhenUsed/>
    <w:rsid w:val="00E11A68"/>
    <w:rPr>
      <w:color w:val="0000FF" w:themeColor="hyperlink"/>
      <w:u w:val="single"/>
    </w:rPr>
  </w:style>
  <w:style w:type="character" w:customStyle="1" w:styleId="UnresolvedMention1">
    <w:name w:val="Unresolved Mention1"/>
    <w:basedOn w:val="DefaultParagraphFont"/>
    <w:uiPriority w:val="99"/>
    <w:semiHidden/>
    <w:unhideWhenUsed/>
    <w:rsid w:val="00E11A68"/>
    <w:rPr>
      <w:color w:val="605E5C"/>
      <w:shd w:val="clear" w:color="auto" w:fill="E1DFDD"/>
    </w:rPr>
  </w:style>
  <w:style w:type="paragraph" w:customStyle="1" w:styleId="ArticleTitle">
    <w:name w:val="Article Title"/>
    <w:basedOn w:val="Normal"/>
    <w:link w:val="ArticleTitleChar"/>
    <w:qFormat/>
    <w:rsid w:val="00260864"/>
    <w:pPr>
      <w:spacing w:before="38"/>
      <w:ind w:left="370" w:right="363"/>
      <w:jc w:val="center"/>
    </w:pPr>
    <w:rPr>
      <w:b/>
      <w:iCs/>
      <w:color w:val="000000" w:themeColor="text1"/>
      <w:sz w:val="26"/>
      <w:szCs w:val="26"/>
    </w:rPr>
  </w:style>
  <w:style w:type="paragraph" w:customStyle="1" w:styleId="identity">
    <w:name w:val="identity"/>
    <w:basedOn w:val="Normal"/>
    <w:link w:val="identityChar"/>
    <w:qFormat/>
    <w:rsid w:val="00E50B1E"/>
    <w:pPr>
      <w:ind w:right="-68"/>
      <w:jc w:val="center"/>
    </w:pPr>
    <w:rPr>
      <w:b/>
      <w:color w:val="000000" w:themeColor="text1"/>
      <w:sz w:val="22"/>
      <w:szCs w:val="22"/>
    </w:rPr>
  </w:style>
  <w:style w:type="character" w:customStyle="1" w:styleId="ArticleTitleChar">
    <w:name w:val="Article Title Char"/>
    <w:basedOn w:val="DefaultParagraphFont"/>
    <w:link w:val="ArticleTitle"/>
    <w:rsid w:val="00260864"/>
    <w:rPr>
      <w:b/>
      <w:iCs/>
      <w:color w:val="000000" w:themeColor="text1"/>
      <w:sz w:val="26"/>
      <w:szCs w:val="26"/>
    </w:rPr>
  </w:style>
  <w:style w:type="paragraph" w:customStyle="1" w:styleId="Abstracttitle">
    <w:name w:val="Abstract title"/>
    <w:basedOn w:val="Normal"/>
    <w:link w:val="AbstracttitleChar"/>
    <w:qFormat/>
    <w:rsid w:val="00E50B1E"/>
    <w:pPr>
      <w:jc w:val="center"/>
    </w:pPr>
    <w:rPr>
      <w:b/>
      <w:iCs/>
      <w:color w:val="000000" w:themeColor="text1"/>
      <w:sz w:val="26"/>
      <w:szCs w:val="26"/>
      <w:lang w:val="id-ID"/>
    </w:rPr>
  </w:style>
  <w:style w:type="character" w:customStyle="1" w:styleId="identityChar">
    <w:name w:val="identity Char"/>
    <w:basedOn w:val="DefaultParagraphFont"/>
    <w:link w:val="identity"/>
    <w:rsid w:val="00E50B1E"/>
    <w:rPr>
      <w:b/>
      <w:color w:val="000000" w:themeColor="text1"/>
      <w:sz w:val="22"/>
      <w:szCs w:val="22"/>
    </w:rPr>
  </w:style>
  <w:style w:type="paragraph" w:customStyle="1" w:styleId="Abstract">
    <w:name w:val="Abstract"/>
    <w:basedOn w:val="Normal"/>
    <w:link w:val="AbstractChar"/>
    <w:qFormat/>
    <w:rsid w:val="00E50B1E"/>
    <w:pPr>
      <w:jc w:val="both"/>
    </w:pPr>
    <w:rPr>
      <w:iCs/>
      <w:color w:val="000000" w:themeColor="text1"/>
      <w:sz w:val="22"/>
      <w:szCs w:val="22"/>
      <w:lang w:val="id-ID"/>
    </w:rPr>
  </w:style>
  <w:style w:type="character" w:customStyle="1" w:styleId="AbstracttitleChar">
    <w:name w:val="Abstract title Char"/>
    <w:basedOn w:val="DefaultParagraphFont"/>
    <w:link w:val="Abstracttitle"/>
    <w:rsid w:val="00E50B1E"/>
    <w:rPr>
      <w:b/>
      <w:iCs/>
      <w:color w:val="000000" w:themeColor="text1"/>
      <w:sz w:val="26"/>
      <w:szCs w:val="26"/>
      <w:lang w:val="id-ID"/>
    </w:rPr>
  </w:style>
  <w:style w:type="paragraph" w:customStyle="1" w:styleId="Keywords">
    <w:name w:val="Keywords"/>
    <w:basedOn w:val="Normal"/>
    <w:link w:val="KeywordsChar"/>
    <w:qFormat/>
    <w:rsid w:val="00E50B1E"/>
    <w:pPr>
      <w:jc w:val="both"/>
    </w:pPr>
    <w:rPr>
      <w:b/>
      <w:bCs/>
      <w:iCs/>
      <w:color w:val="000000" w:themeColor="text1"/>
      <w:sz w:val="22"/>
      <w:szCs w:val="22"/>
      <w:lang w:val="id-ID"/>
    </w:rPr>
  </w:style>
  <w:style w:type="character" w:customStyle="1" w:styleId="AbstractChar">
    <w:name w:val="Abstract Char"/>
    <w:basedOn w:val="DefaultParagraphFont"/>
    <w:link w:val="Abstract"/>
    <w:rsid w:val="00E50B1E"/>
    <w:rPr>
      <w:iCs/>
      <w:color w:val="000000" w:themeColor="text1"/>
      <w:sz w:val="22"/>
      <w:szCs w:val="22"/>
      <w:lang w:val="id-ID"/>
    </w:rPr>
  </w:style>
  <w:style w:type="character" w:customStyle="1" w:styleId="KeywordsChar">
    <w:name w:val="Keywords Char"/>
    <w:basedOn w:val="DefaultParagraphFont"/>
    <w:link w:val="Keywords"/>
    <w:rsid w:val="00E50B1E"/>
    <w:rPr>
      <w:b/>
      <w:bCs/>
      <w:iCs/>
      <w:color w:val="000000" w:themeColor="text1"/>
      <w:sz w:val="22"/>
      <w:szCs w:val="22"/>
      <w:lang w:val="id-ID"/>
    </w:rPr>
  </w:style>
  <w:style w:type="character" w:customStyle="1" w:styleId="hps">
    <w:name w:val="hps"/>
    <w:basedOn w:val="DefaultParagraphFont"/>
    <w:rsid w:val="00253A30"/>
  </w:style>
  <w:style w:type="character" w:customStyle="1" w:styleId="ListParagraphChar">
    <w:name w:val="List Paragraph Char"/>
    <w:basedOn w:val="DefaultParagraphFont"/>
    <w:link w:val="ListParagraph"/>
    <w:uiPriority w:val="34"/>
    <w:rsid w:val="0021048E"/>
  </w:style>
  <w:style w:type="table" w:styleId="TableGrid">
    <w:name w:val="Table Grid"/>
    <w:basedOn w:val="TableNormal"/>
    <w:uiPriority w:val="39"/>
    <w:rsid w:val="002167C7"/>
    <w:rPr>
      <w:rFonts w:asciiTheme="minorHAnsi" w:eastAsiaTheme="minorHAnsi" w:hAnsiTheme="minorHAnsi" w:cstheme="minorBidi"/>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A541CF"/>
    <w:rPr>
      <w:color w:val="605E5C"/>
      <w:shd w:val="clear" w:color="auto" w:fill="E1DFDD"/>
    </w:rPr>
  </w:style>
  <w:style w:type="paragraph" w:customStyle="1" w:styleId="cite-boxcitation-sc-1ts84r9-0">
    <w:name w:val="cite-box__citation-sc-1ts84r9-0"/>
    <w:basedOn w:val="Normal"/>
    <w:rsid w:val="00BA24AE"/>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EB32D2"/>
    <w:rPr>
      <w:rFonts w:ascii="Tahoma" w:hAnsi="Tahoma" w:cs="Tahoma"/>
      <w:sz w:val="16"/>
      <w:szCs w:val="16"/>
    </w:rPr>
  </w:style>
  <w:style w:type="character" w:customStyle="1" w:styleId="BalloonTextChar">
    <w:name w:val="Balloon Text Char"/>
    <w:basedOn w:val="DefaultParagraphFont"/>
    <w:link w:val="BalloonText"/>
    <w:uiPriority w:val="99"/>
    <w:semiHidden/>
    <w:rsid w:val="00EB32D2"/>
    <w:rPr>
      <w:rFonts w:ascii="Tahoma" w:hAnsi="Tahoma" w:cs="Tahoma"/>
      <w:sz w:val="16"/>
      <w:szCs w:val="16"/>
    </w:rPr>
  </w:style>
  <w:style w:type="paragraph" w:styleId="Bibliography">
    <w:name w:val="Bibliography"/>
    <w:basedOn w:val="Normal"/>
    <w:next w:val="Normal"/>
    <w:uiPriority w:val="37"/>
    <w:unhideWhenUsed/>
    <w:rsid w:val="00EB32D2"/>
  </w:style>
  <w:style w:type="character" w:customStyle="1" w:styleId="UnresolvedMention3">
    <w:name w:val="Unresolved Mention3"/>
    <w:basedOn w:val="DefaultParagraphFont"/>
    <w:uiPriority w:val="99"/>
    <w:semiHidden/>
    <w:unhideWhenUsed/>
    <w:rsid w:val="008D423F"/>
    <w:rPr>
      <w:color w:val="605E5C"/>
      <w:shd w:val="clear" w:color="auto" w:fill="E1DFDD"/>
    </w:rPr>
  </w:style>
  <w:style w:type="character" w:styleId="Emphasis">
    <w:name w:val="Emphasis"/>
    <w:basedOn w:val="DefaultParagraphFont"/>
    <w:uiPriority w:val="20"/>
    <w:qFormat/>
    <w:rsid w:val="00173AA4"/>
    <w:rPr>
      <w:i/>
      <w:iCs/>
    </w:rPr>
  </w:style>
  <w:style w:type="paragraph" w:customStyle="1" w:styleId="Default">
    <w:name w:val="Default"/>
    <w:rsid w:val="005A5F5E"/>
    <w:pPr>
      <w:autoSpaceDE w:val="0"/>
      <w:autoSpaceDN w:val="0"/>
      <w:adjustRightInd w:val="0"/>
    </w:pPr>
    <w:rPr>
      <w:color w:val="000000"/>
      <w:sz w:val="24"/>
      <w:szCs w:val="24"/>
      <w:lang w:val="en-ID"/>
    </w:rPr>
  </w:style>
  <w:style w:type="paragraph" w:styleId="Title">
    <w:name w:val="Title"/>
    <w:basedOn w:val="Normal"/>
    <w:link w:val="TitleChar"/>
    <w:uiPriority w:val="10"/>
    <w:qFormat/>
    <w:rsid w:val="00461E60"/>
    <w:pPr>
      <w:widowControl w:val="0"/>
      <w:autoSpaceDE w:val="0"/>
      <w:autoSpaceDN w:val="0"/>
      <w:spacing w:before="1"/>
      <w:ind w:left="721" w:right="478"/>
      <w:jc w:val="center"/>
    </w:pPr>
    <w:rPr>
      <w:b/>
      <w:bCs/>
      <w:sz w:val="24"/>
      <w:szCs w:val="24"/>
    </w:rPr>
  </w:style>
  <w:style w:type="character" w:customStyle="1" w:styleId="TitleChar">
    <w:name w:val="Title Char"/>
    <w:basedOn w:val="DefaultParagraphFont"/>
    <w:link w:val="Title"/>
    <w:uiPriority w:val="10"/>
    <w:rsid w:val="00461E60"/>
    <w:rPr>
      <w:b/>
      <w:bCs/>
      <w:sz w:val="24"/>
      <w:szCs w:val="24"/>
    </w:rPr>
  </w:style>
  <w:style w:type="paragraph" w:styleId="BodyText">
    <w:name w:val="Body Text"/>
    <w:basedOn w:val="Normal"/>
    <w:link w:val="BodyTextChar"/>
    <w:uiPriority w:val="1"/>
    <w:qFormat/>
    <w:rsid w:val="000156E3"/>
    <w:pPr>
      <w:widowControl w:val="0"/>
      <w:autoSpaceDE w:val="0"/>
      <w:autoSpaceDN w:val="0"/>
    </w:pPr>
    <w:rPr>
      <w:sz w:val="22"/>
      <w:szCs w:val="22"/>
    </w:rPr>
  </w:style>
  <w:style w:type="character" w:customStyle="1" w:styleId="BodyTextChar">
    <w:name w:val="Body Text Char"/>
    <w:basedOn w:val="DefaultParagraphFont"/>
    <w:link w:val="BodyText"/>
    <w:uiPriority w:val="1"/>
    <w:rsid w:val="000156E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9740">
      <w:bodyDiv w:val="1"/>
      <w:marLeft w:val="0"/>
      <w:marRight w:val="0"/>
      <w:marTop w:val="0"/>
      <w:marBottom w:val="0"/>
      <w:divBdr>
        <w:top w:val="none" w:sz="0" w:space="0" w:color="auto"/>
        <w:left w:val="none" w:sz="0" w:space="0" w:color="auto"/>
        <w:bottom w:val="none" w:sz="0" w:space="0" w:color="auto"/>
        <w:right w:val="none" w:sz="0" w:space="0" w:color="auto"/>
      </w:divBdr>
    </w:div>
    <w:div w:id="20671153">
      <w:bodyDiv w:val="1"/>
      <w:marLeft w:val="0"/>
      <w:marRight w:val="0"/>
      <w:marTop w:val="0"/>
      <w:marBottom w:val="0"/>
      <w:divBdr>
        <w:top w:val="none" w:sz="0" w:space="0" w:color="auto"/>
        <w:left w:val="none" w:sz="0" w:space="0" w:color="auto"/>
        <w:bottom w:val="none" w:sz="0" w:space="0" w:color="auto"/>
        <w:right w:val="none" w:sz="0" w:space="0" w:color="auto"/>
      </w:divBdr>
    </w:div>
    <w:div w:id="112213439">
      <w:bodyDiv w:val="1"/>
      <w:marLeft w:val="0"/>
      <w:marRight w:val="0"/>
      <w:marTop w:val="0"/>
      <w:marBottom w:val="0"/>
      <w:divBdr>
        <w:top w:val="none" w:sz="0" w:space="0" w:color="auto"/>
        <w:left w:val="none" w:sz="0" w:space="0" w:color="auto"/>
        <w:bottom w:val="none" w:sz="0" w:space="0" w:color="auto"/>
        <w:right w:val="none" w:sz="0" w:space="0" w:color="auto"/>
      </w:divBdr>
    </w:div>
    <w:div w:id="660086756">
      <w:bodyDiv w:val="1"/>
      <w:marLeft w:val="0"/>
      <w:marRight w:val="0"/>
      <w:marTop w:val="0"/>
      <w:marBottom w:val="0"/>
      <w:divBdr>
        <w:top w:val="none" w:sz="0" w:space="0" w:color="auto"/>
        <w:left w:val="none" w:sz="0" w:space="0" w:color="auto"/>
        <w:bottom w:val="none" w:sz="0" w:space="0" w:color="auto"/>
        <w:right w:val="none" w:sz="0" w:space="0" w:color="auto"/>
      </w:divBdr>
    </w:div>
    <w:div w:id="701638835">
      <w:bodyDiv w:val="1"/>
      <w:marLeft w:val="0"/>
      <w:marRight w:val="0"/>
      <w:marTop w:val="0"/>
      <w:marBottom w:val="0"/>
      <w:divBdr>
        <w:top w:val="none" w:sz="0" w:space="0" w:color="auto"/>
        <w:left w:val="none" w:sz="0" w:space="0" w:color="auto"/>
        <w:bottom w:val="none" w:sz="0" w:space="0" w:color="auto"/>
        <w:right w:val="none" w:sz="0" w:space="0" w:color="auto"/>
      </w:divBdr>
    </w:div>
    <w:div w:id="786126173">
      <w:bodyDiv w:val="1"/>
      <w:marLeft w:val="0"/>
      <w:marRight w:val="0"/>
      <w:marTop w:val="0"/>
      <w:marBottom w:val="0"/>
      <w:divBdr>
        <w:top w:val="none" w:sz="0" w:space="0" w:color="auto"/>
        <w:left w:val="none" w:sz="0" w:space="0" w:color="auto"/>
        <w:bottom w:val="none" w:sz="0" w:space="0" w:color="auto"/>
        <w:right w:val="none" w:sz="0" w:space="0" w:color="auto"/>
      </w:divBdr>
    </w:div>
    <w:div w:id="789513571">
      <w:bodyDiv w:val="1"/>
      <w:marLeft w:val="0"/>
      <w:marRight w:val="0"/>
      <w:marTop w:val="0"/>
      <w:marBottom w:val="0"/>
      <w:divBdr>
        <w:top w:val="none" w:sz="0" w:space="0" w:color="auto"/>
        <w:left w:val="none" w:sz="0" w:space="0" w:color="auto"/>
        <w:bottom w:val="none" w:sz="0" w:space="0" w:color="auto"/>
        <w:right w:val="none" w:sz="0" w:space="0" w:color="auto"/>
      </w:divBdr>
    </w:div>
    <w:div w:id="823858629">
      <w:bodyDiv w:val="1"/>
      <w:marLeft w:val="0"/>
      <w:marRight w:val="0"/>
      <w:marTop w:val="0"/>
      <w:marBottom w:val="0"/>
      <w:divBdr>
        <w:top w:val="none" w:sz="0" w:space="0" w:color="auto"/>
        <w:left w:val="none" w:sz="0" w:space="0" w:color="auto"/>
        <w:bottom w:val="none" w:sz="0" w:space="0" w:color="auto"/>
        <w:right w:val="none" w:sz="0" w:space="0" w:color="auto"/>
      </w:divBdr>
      <w:divsChild>
        <w:div w:id="201602326">
          <w:marLeft w:val="0"/>
          <w:marRight w:val="0"/>
          <w:marTop w:val="0"/>
          <w:marBottom w:val="0"/>
          <w:divBdr>
            <w:top w:val="none" w:sz="0" w:space="0" w:color="auto"/>
            <w:left w:val="none" w:sz="0" w:space="0" w:color="auto"/>
            <w:bottom w:val="none" w:sz="0" w:space="0" w:color="auto"/>
            <w:right w:val="none" w:sz="0" w:space="0" w:color="auto"/>
          </w:divBdr>
          <w:divsChild>
            <w:div w:id="3651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97803">
      <w:bodyDiv w:val="1"/>
      <w:marLeft w:val="0"/>
      <w:marRight w:val="0"/>
      <w:marTop w:val="0"/>
      <w:marBottom w:val="0"/>
      <w:divBdr>
        <w:top w:val="none" w:sz="0" w:space="0" w:color="auto"/>
        <w:left w:val="none" w:sz="0" w:space="0" w:color="auto"/>
        <w:bottom w:val="none" w:sz="0" w:space="0" w:color="auto"/>
        <w:right w:val="none" w:sz="0" w:space="0" w:color="auto"/>
      </w:divBdr>
    </w:div>
    <w:div w:id="980618450">
      <w:bodyDiv w:val="1"/>
      <w:marLeft w:val="0"/>
      <w:marRight w:val="0"/>
      <w:marTop w:val="0"/>
      <w:marBottom w:val="0"/>
      <w:divBdr>
        <w:top w:val="none" w:sz="0" w:space="0" w:color="auto"/>
        <w:left w:val="none" w:sz="0" w:space="0" w:color="auto"/>
        <w:bottom w:val="none" w:sz="0" w:space="0" w:color="auto"/>
        <w:right w:val="none" w:sz="0" w:space="0" w:color="auto"/>
      </w:divBdr>
    </w:div>
    <w:div w:id="1052922551">
      <w:bodyDiv w:val="1"/>
      <w:marLeft w:val="0"/>
      <w:marRight w:val="0"/>
      <w:marTop w:val="0"/>
      <w:marBottom w:val="0"/>
      <w:divBdr>
        <w:top w:val="none" w:sz="0" w:space="0" w:color="auto"/>
        <w:left w:val="none" w:sz="0" w:space="0" w:color="auto"/>
        <w:bottom w:val="none" w:sz="0" w:space="0" w:color="auto"/>
        <w:right w:val="none" w:sz="0" w:space="0" w:color="auto"/>
      </w:divBdr>
    </w:div>
    <w:div w:id="1126041344">
      <w:bodyDiv w:val="1"/>
      <w:marLeft w:val="0"/>
      <w:marRight w:val="0"/>
      <w:marTop w:val="0"/>
      <w:marBottom w:val="0"/>
      <w:divBdr>
        <w:top w:val="none" w:sz="0" w:space="0" w:color="auto"/>
        <w:left w:val="none" w:sz="0" w:space="0" w:color="auto"/>
        <w:bottom w:val="none" w:sz="0" w:space="0" w:color="auto"/>
        <w:right w:val="none" w:sz="0" w:space="0" w:color="auto"/>
      </w:divBdr>
    </w:div>
    <w:div w:id="1196119353">
      <w:bodyDiv w:val="1"/>
      <w:marLeft w:val="0"/>
      <w:marRight w:val="0"/>
      <w:marTop w:val="0"/>
      <w:marBottom w:val="0"/>
      <w:divBdr>
        <w:top w:val="none" w:sz="0" w:space="0" w:color="auto"/>
        <w:left w:val="none" w:sz="0" w:space="0" w:color="auto"/>
        <w:bottom w:val="none" w:sz="0" w:space="0" w:color="auto"/>
        <w:right w:val="none" w:sz="0" w:space="0" w:color="auto"/>
      </w:divBdr>
    </w:div>
    <w:div w:id="1301152956">
      <w:bodyDiv w:val="1"/>
      <w:marLeft w:val="0"/>
      <w:marRight w:val="0"/>
      <w:marTop w:val="0"/>
      <w:marBottom w:val="0"/>
      <w:divBdr>
        <w:top w:val="none" w:sz="0" w:space="0" w:color="auto"/>
        <w:left w:val="none" w:sz="0" w:space="0" w:color="auto"/>
        <w:bottom w:val="none" w:sz="0" w:space="0" w:color="auto"/>
        <w:right w:val="none" w:sz="0" w:space="0" w:color="auto"/>
      </w:divBdr>
    </w:div>
    <w:div w:id="1312977725">
      <w:bodyDiv w:val="1"/>
      <w:marLeft w:val="0"/>
      <w:marRight w:val="0"/>
      <w:marTop w:val="0"/>
      <w:marBottom w:val="0"/>
      <w:divBdr>
        <w:top w:val="none" w:sz="0" w:space="0" w:color="auto"/>
        <w:left w:val="none" w:sz="0" w:space="0" w:color="auto"/>
        <w:bottom w:val="none" w:sz="0" w:space="0" w:color="auto"/>
        <w:right w:val="none" w:sz="0" w:space="0" w:color="auto"/>
      </w:divBdr>
    </w:div>
    <w:div w:id="1473592852">
      <w:bodyDiv w:val="1"/>
      <w:marLeft w:val="0"/>
      <w:marRight w:val="0"/>
      <w:marTop w:val="0"/>
      <w:marBottom w:val="0"/>
      <w:divBdr>
        <w:top w:val="none" w:sz="0" w:space="0" w:color="auto"/>
        <w:left w:val="none" w:sz="0" w:space="0" w:color="auto"/>
        <w:bottom w:val="none" w:sz="0" w:space="0" w:color="auto"/>
        <w:right w:val="none" w:sz="0" w:space="0" w:color="auto"/>
      </w:divBdr>
    </w:div>
    <w:div w:id="1510487706">
      <w:bodyDiv w:val="1"/>
      <w:marLeft w:val="0"/>
      <w:marRight w:val="0"/>
      <w:marTop w:val="0"/>
      <w:marBottom w:val="0"/>
      <w:divBdr>
        <w:top w:val="none" w:sz="0" w:space="0" w:color="auto"/>
        <w:left w:val="none" w:sz="0" w:space="0" w:color="auto"/>
        <w:bottom w:val="none" w:sz="0" w:space="0" w:color="auto"/>
        <w:right w:val="none" w:sz="0" w:space="0" w:color="auto"/>
      </w:divBdr>
    </w:div>
    <w:div w:id="1657606466">
      <w:bodyDiv w:val="1"/>
      <w:marLeft w:val="0"/>
      <w:marRight w:val="0"/>
      <w:marTop w:val="0"/>
      <w:marBottom w:val="0"/>
      <w:divBdr>
        <w:top w:val="none" w:sz="0" w:space="0" w:color="auto"/>
        <w:left w:val="none" w:sz="0" w:space="0" w:color="auto"/>
        <w:bottom w:val="none" w:sz="0" w:space="0" w:color="auto"/>
        <w:right w:val="none" w:sz="0" w:space="0" w:color="auto"/>
      </w:divBdr>
    </w:div>
    <w:div w:id="1805998362">
      <w:bodyDiv w:val="1"/>
      <w:marLeft w:val="0"/>
      <w:marRight w:val="0"/>
      <w:marTop w:val="0"/>
      <w:marBottom w:val="0"/>
      <w:divBdr>
        <w:top w:val="none" w:sz="0" w:space="0" w:color="auto"/>
        <w:left w:val="none" w:sz="0" w:space="0" w:color="auto"/>
        <w:bottom w:val="none" w:sz="0" w:space="0" w:color="auto"/>
        <w:right w:val="none" w:sz="0" w:space="0" w:color="auto"/>
      </w:divBdr>
    </w:div>
    <w:div w:id="207801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picework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Dja191</b:Tag>
    <b:SourceType>JournalArticle</b:SourceType>
    <b:Guid>{90465C12-D01A-4C3C-88D7-D64D0ACB745E}</b:Guid>
    <b:Author>
      <b:Author>
        <b:NameList>
          <b:Person>
            <b:Last>Djakaria</b:Last>
            <b:First>Yurniawati</b:First>
          </b:Person>
        </b:NameList>
      </b:Author>
    </b:Author>
    <b:Title>Legal Protection of Business Activities In Monopoly Practices And Unfair Competition Through Eletronic Transactions</b:Title>
    <b:JournalName>Estudiente Law Journa</b:JournalName>
    <b:Year>2019</b:Year>
    <b:Pages>474-489</b:Pages>
    <b:Volume>1</b:Volume>
    <b:Issue>2</b:Issue>
    <b:RefOrder>1</b:RefOrder>
  </b:Source>
  <b:Source>
    <b:Tag>AlM17</b:Tag>
    <b:SourceType>JournalArticle</b:SourceType>
    <b:Guid>{DB1B21CD-13D7-4C2A-9263-1169CA61D640}</b:Guid>
    <b:Title>Phishing for the Answer: Recent Developments in Combating Phishing</b:Title>
    <b:JournalName>ISJLP</b:JournalName>
    <b:Year>2017</b:Year>
    <b:Pages>595</b:Pages>
    <b:Volume>3</b:Volume>
    <b:Author>
      <b:Author>
        <b:NameList>
          <b:Person>
            <b:Last>AlMahroos</b:Last>
            <b:First>Rasha</b:First>
          </b:Person>
        </b:NameList>
      </b:Author>
    </b:Author>
    <b:RefOrder>2</b:RefOrder>
  </b:Source>
  <b:Source>
    <b:Tag>Lab191</b:Tag>
    <b:SourceType>JournalArticle</b:SourceType>
    <b:Guid>{A64A4975-16F3-45C6-B1B0-02580935F0F8}</b:Guid>
    <b:Title>Identity Theft Protection Strategies: A Literature Review</b:Title>
    <b:JournalName>Journal of Academic Research</b:JournalName>
    <b:Year>2019</b:Year>
    <b:Pages>1-12</b:Pages>
    <b:Author>
      <b:Author>
        <b:NameList>
          <b:Person>
            <b:Last>Labong</b:Last>
            <b:First>Ronel</b:First>
            <b:Middle>C.</b:Middle>
          </b:Person>
        </b:NameList>
      </b:Author>
    </b:Author>
    <b:Volume>4</b:Volume>
    <b:Issue>2</b:Issue>
    <b:RefOrder>3</b:RefOrder>
  </b:Source>
  <b:Source>
    <b:Tag>Jak201</b:Tag>
    <b:SourceType>JournalArticle</b:SourceType>
    <b:Guid>{F73D0BE3-44BF-4C6B-BF45-A6BB8F5AB985}</b:Guid>
    <b:Author>
      <b:Author>
        <b:NameList>
          <b:Person>
            <b:Last>Jakubiec</b:Last>
            <b:First>Wojciech</b:First>
          </b:Person>
        </b:NameList>
      </b:Author>
    </b:Author>
    <b:Title>Threats of Identity Theft in Cyberspace - Case Study</b:Title>
    <b:JournalName>ASEJ Scientific Journal of Bielsko-Biala School of Finance and Law</b:JournalName>
    <b:Year>2020</b:Year>
    <b:Pages>10-14</b:Pages>
    <b:Volume>24</b:Volume>
    <b:Issue>2</b:Issue>
    <b:RefOrder>4</b:RefOrder>
  </b:Source>
  <b:Source>
    <b:Tag>Nyk10</b:Tag>
    <b:SourceType>JournalArticle</b:SourceType>
    <b:Guid>{E5DD2EC6-4AEE-47E8-8FAB-3842CA8687B7}</b:Guid>
    <b:Title>Cybercrime and Business: How to Not Get Caught by the Online Phisherman</b:Title>
    <b:JournalName>Journal of International Commercial Law and Technology</b:JournalName>
    <b:Year>2010</b:Year>
    <b:Pages>252–259</b:Pages>
    <b:Author>
      <b:Author>
        <b:NameList>
          <b:Person>
            <b:Last>Nykodym</b:Last>
            <b:First>Nick</b:First>
            <b:Middle>et al.</b:Middle>
          </b:Person>
        </b:NameList>
      </b:Author>
    </b:Author>
    <b:Volume>5</b:Volume>
    <b:Issue>4</b:Issue>
    <b:RefOrder>5</b:RefOrder>
  </b:Source>
  <b:Source>
    <b:Tag>242</b:Tag>
    <b:SourceType>JournalArticle</b:SourceType>
    <b:Guid>{BB95F9DA-285A-4C88-9DAF-1BC2A2329B9E}</b:Guid>
    <b:Pages>24</b:Pages>
    <b:Volume>2</b:Volume>
    <b:Issue>2</b:Issue>
    <b:RefOrder>6</b:RefOrder>
  </b:Source>
  <b:Source>
    <b:Tag>Sin13</b:Tag>
    <b:SourceType>JournalArticle</b:SourceType>
    <b:Guid>{ECF7DB30-E9D8-43F3-A232-0CE323989860}</b:Guid>
    <b:Title>Data Protection and Privacy Legal-Policy Framework in India: A Comparative Study Vis-à- Vis China and Australia</b:Title>
    <b:JournalName>Amity Journal of Computational Sciences</b:JournalName>
    <b:Year>2013</b:Year>
    <b:Pages>22–28</b:Pages>
    <b:Author>
      <b:Author>
        <b:NameList>
          <b:Person>
            <b:Last>Singh</b:Last>
            <b:First>Harman</b:First>
            <b:Middle>Preet</b:Middle>
          </b:Person>
        </b:NameList>
      </b:Author>
    </b:Author>
    <b:Volume>2</b:Volume>
    <b:Issue>2</b:Issue>
    <b:RefOrder>7</b:RefOrder>
  </b:Source>
  <b:Source>
    <b:Tag>Cai20</b:Tag>
    <b:SourceType>JournalArticle</b:SourceType>
    <b:Guid>{D34891CE-FAD4-41AB-84CA-3A8C307BA09F}</b:Guid>
    <b:Author>
      <b:Author>
        <b:NameList>
          <b:Person>
            <b:Last>Cai</b:Last>
            <b:First>Linjun</b:First>
          </b:Person>
        </b:NameList>
      </b:Author>
    </b:Author>
    <b:Title>A Cross-Border E-Commerce Intellectual Property Rights</b:Title>
    <b:JournalName>Journal of Finance Research</b:JournalName>
    <b:Year>2020</b:Year>
    <b:Pages>112</b:Pages>
    <b:Volume>4</b:Volume>
    <b:Issue>1</b:Issue>
    <b:RefOrder>8</b:RefOrder>
  </b:Source>
  <b:Source>
    <b:Tag>Ali22</b:Tag>
    <b:SourceType>InternetSite</b:SourceType>
    <b:Guid>{70200A15-F666-49D6-A005-9D730F0CEFC4}</b:Guid>
    <b:Title>Alibaba.com</b:Title>
    <b:YearAccessed>2022</b:YearAccessed>
    <b:MonthAccessed>Agustus</b:MonthAccessed>
    <b:DayAccessed>22</b:DayAccessed>
    <b:URL>https://www.worldtrademarkreview.com/article/how-alibaba-fighting-ip-infringement-two-fronts. </b:URL>
    <b:RefOrder>9</b:RefOrder>
  </b:Source>
  <b:Source>
    <b:Tag>Lin21</b:Tag>
    <b:SourceType>ConferenceProceedings</b:SourceType>
    <b:Guid>{FEC2C50D-9AA3-4248-BB7A-DC9CDAE89FAC}</b:Guid>
    <b:Title>Exploration of Intellectual Property Protection Strategies for Cross-Border e-Commerce</b:Title>
    <b:Year>2021</b:Year>
    <b:Author>
      <b:Author>
        <b:NameList>
          <b:Person>
            <b:Last>Lin</b:Last>
            <b:First>Chunyi</b:First>
          </b:Person>
        </b:NameList>
      </b:Author>
    </b:Author>
    <b:Pages>01062</b:Pages>
    <b:ConferenceName>E3S Web of Conferences</b:ConferenceName>
    <b:Publisher>EDP Sciences</b:Publisher>
    <b:Volume>425</b:Volume>
    <b:RefOrder>10</b:RefOrder>
  </b:Source>
  <b:Source>
    <b:Tag>NiP20</b:Tag>
    <b:SourceType>JournalArticle</b:SourceType>
    <b:Guid>{8919FBDC-8BBE-426C-8A70-C8E25A71AC39}</b:Guid>
    <b:Author>
      <b:Author>
        <b:NameList>
          <b:Person>
            <b:Last>Ni Putu Indra Nandayani</b:Last>
            <b:First>Marwanto</b:First>
          </b:Person>
        </b:NameList>
      </b:Author>
    </b:Author>
    <b:Title>Perlindungan Hukum Terhadap Konsumen Atas Produk Barang Palsu Yang Dijual Secara E- Commerce Dengan Perusahaan Luar Negeri</b:Title>
    <b:Pages>192–206</b:Pages>
    <b:Year>2020</b:Year>
    <b:Volume>8</b:Volume>
    <b:JournalName>Jurnal Kertha Semaya</b:JournalName>
    <b:Issue>2</b:Issue>
    <b:RefOrder>11</b:RefOrder>
  </b:Source>
  <b:Source>
    <b:Tag>Vau06</b:Tag>
    <b:SourceType>JournalArticle</b:SourceType>
    <b:Guid>{8C0EB159-D2BB-4225-A0D1-3942A2DC97A4}</b:Guid>
    <b:Title>Texas's New E-Consumer Protection Acts: A (Ph) arewell to Phising and Spyware</b:Title>
    <b:JournalName>Tex. Wesleyan L. Rev.</b:JournalName>
    <b:Year>2006</b:Year>
    <b:Pages>265</b:Pages>
    <b:Author>
      <b:Author>
        <b:NameList>
          <b:Person>
            <b:Last>Vaughan</b:Last>
            <b:First>Justin</b:First>
          </b:Person>
        </b:NameList>
      </b:Author>
    </b:Author>
    <b:Volume>13</b:Volume>
    <b:RefOrder>12</b:RefOrder>
  </b:Source>
  <b:Source>
    <b:Tag>Shi15</b:Tag>
    <b:SourceType>JournalArticle</b:SourceType>
    <b:Guid>{CE732922-91B5-4291-9823-E3E5D47F88DD}</b:Guid>
    <b:Author>
      <b:Author>
        <b:NameList>
          <b:Person>
            <b:Last>Shields</b:Last>
            <b:First>K</b:First>
          </b:Person>
        </b:NameList>
      </b:Author>
    </b:Author>
    <b:Title>Cybersecurity: Recognizing the Risk and Protecting Against Attacks</b:Title>
    <b:JournalName>North Carolina Banking Institute</b:JournalName>
    <b:Year>2015</b:Year>
    <b:Pages>345</b:Pages>
    <b:Volume>19</b:Volume>
    <b:Issue>1</b:Issue>
    <b:RefOrder>13</b:RefOrder>
  </b:Source>
  <b:Source>
    <b:Tag>Soe86</b:Tag>
    <b:SourceType>Book</b:SourceType>
    <b:Guid>{3A21F143-9A6E-4706-B251-23629FB2EE73}</b:Guid>
    <b:Title>Pengantar Penelitian Hukum, cet. 3</b:Title>
    <b:Year>1986</b:Year>
    <b:Author>
      <b:Author>
        <b:NameList>
          <b:Person>
            <b:Last>Soekanto</b:Last>
            <b:First>Soerjono</b:First>
          </b:Person>
        </b:NameList>
      </b:Author>
    </b:Author>
    <b:City>Jakarta</b:City>
    <b:Publisher>Universitas Indonesia</b:Publisher>
    <b:RefOrder>14</b:RefOrder>
  </b:Source>
  <b:Source>
    <b:Tag>Ami03</b:Tag>
    <b:SourceType>Book</b:SourceType>
    <b:Guid>{C8D84558-6631-410D-A312-51D5AA8D16D5}</b:Guid>
    <b:Author>
      <b:Author>
        <b:NameList>
          <b:Person>
            <b:Last>Amiruddin &amp; Asikin</b:Last>
            <b:First>Z</b:First>
          </b:Person>
        </b:NameList>
      </b:Author>
    </b:Author>
    <b:Title>Pengantar metode penelitian hukum</b:Title>
    <b:Year>2003</b:Year>
    <b:City>Jakarta</b:City>
    <b:Publisher>Raja Grafindo Persada</b:Publisher>
    <b:RefOrder>15</b:RefOrder>
  </b:Source>
  <b:Source>
    <b:Tag>Nas19</b:Tag>
    <b:SourceType>JournalArticle</b:SourceType>
    <b:Guid>{E1592592-84B3-4541-AF82-82B837171D76}</b:Guid>
    <b:Title>The Impact of E-Commerce on International Trade: Case of Turkey</b:Title>
    <b:Year>2019</b:Year>
    <b:Author>
      <b:Author>
        <b:NameList>
          <b:Person>
            <b:Last>Nassrullah Mzwri</b:Last>
            <b:First>Ameer</b:First>
            <b:Middle>Mahdi, and Zelha Altinkaya</b:Middle>
          </b:Person>
        </b:NameList>
      </b:Author>
    </b:Author>
    <b:JournalName>International Journal of Contemporary Research and Review</b:JournalName>
    <b:Pages>21190–21209</b:Pages>
    <b:Volume>10</b:Volume>
    <b:Issue>01</b:Issue>
    <b:RefOrder>16</b:RefOrder>
  </b:Source>
  <b:Source>
    <b:Tag>Che21</b:Tag>
    <b:SourceType>Book</b:SourceType>
    <b:Guid>{7BB9C624-3243-48F9-80A3-B5B8FA6FEFF2}</b:Guid>
    <b:Title>Contemporary Business Law, Elevent edition, Pearson</b:Title>
    <b:Year>2021</b:Year>
    <b:Author>
      <b:Author>
        <b:NameList>
          <b:Person>
            <b:Last>Cheeseman</b:Last>
            <b:First>Henry</b:First>
          </b:Person>
        </b:NameList>
      </b:Author>
    </b:Author>
    <b:City>USA</b:City>
    <b:Publisher>New Jersey</b:Publisher>
    <b:RefOrder>17</b:RefOrder>
  </b:Source>
  <b:Source>
    <b:Tag>Sul16</b:Tag>
    <b:SourceType>InternetSite</b:SourceType>
    <b:Guid>{518405FA-7874-430E-BDE7-A273A2591BBB}</b:Guid>
    <b:Title>Jakarta Post</b:Title>
    <b:Year>2016</b:Year>
    <b:Author>
      <b:Author>
        <b:NameList>
          <b:Person>
            <b:Last>Sulistiyono</b:Last>
            <b:First>Arif</b:First>
            <b:Middle>Gunawan</b:Middle>
          </b:Person>
        </b:NameList>
      </b:Author>
    </b:Author>
    <b:Month>September</b:Month>
    <b:Day>2016</b:Day>
    <b:YearAccessed>2022</b:YearAccessed>
    <b:MonthAccessed>Juli</b:MonthAccessed>
    <b:DayAccessed>30</b:DayAccessed>
    <b:URL>http://www.thejakartapost.com/news/2016/09/04/jack-ma-proposed-as-adviser-for-indonesian-e-commerce-development.html </b:URL>
    <b:RefOrder>18</b:RefOrder>
  </b:Source>
  <b:Source>
    <b:Tag>Cha17</b:Tag>
    <b:SourceType>InternetSite</b:SourceType>
    <b:Guid>{4A01F74C-F46F-420D-9AD9-391EAD753C67}</b:Guid>
    <b:Author>
      <b:Author>
        <b:NameList>
          <b:Person>
            <b:Last>Chakraberty</b:Last>
            <b:First>Sumit</b:First>
          </b:Person>
        </b:NameList>
      </b:Author>
    </b:Author>
    <b:Title>Traveloka reveals $500m fundraise; Expedia, Sequoia, JD among new investors</b:Title>
    <b:Year>2017</b:Year>
    <b:Month>Juli</b:Month>
    <b:Day>28</b:Day>
    <b:YearAccessed>2022</b:YearAccessed>
    <b:MonthAccessed>Juli</b:MonthAccessed>
    <b:DayAccessed>30</b:DayAccessed>
    <b:URL>https://www.techinasia.com/traveloka-raises-350m-from-expedia.Sumit Chakraberty, Traveloka reveals $500m fundraise; Expedia, Sequoia, JD among new investors. Juli 28, 2017. Accessed Juli 30, 2022. https://www.techinasia.com/traveloka-raises-350m-from-expe</b:URL>
    <b:RefOrder>19</b:RefOrder>
  </b:Source>
  <b:Source>
    <b:Tag>Sum</b:Tag>
    <b:SourceType>InternetSite</b:SourceType>
    <b:Guid>{F4180BAB-03C0-4AA0-9B55-B2D8C6A5CD7F}</b:Guid>
    <b:Title>Traveloka reveals $500m fundraise; Expedia, Sequoia, JD among new investors, Op. Cit.</b:Title>
    <b:Author>
      <b:Author>
        <b:NameList>
          <b:Person>
            <b:Last>Chakraberty</b:Last>
            <b:First>Sumit</b:First>
          </b:Person>
        </b:NameList>
      </b:Author>
    </b:Author>
    <b:RefOrder>20</b:RefOrder>
  </b:Source>
  <b:Source>
    <b:Tag>Ger12</b:Tag>
    <b:SourceType>JournalArticle</b:SourceType>
    <b:Guid>{9178D779-25CF-4330-85F8-60B67470CC7E}</b:Guid>
    <b:Title>Understanding cybercrimes: Phenomena, challenges and legal response</b:Title>
    <b:Year>2012</b:Year>
    <b:Author>
      <b:Author>
        <b:NameList>
          <b:Person>
            <b:Last>Gercke</b:Last>
            <b:First>Marco</b:First>
          </b:Person>
        </b:NameList>
      </b:Author>
    </b:Author>
    <b:JournalName>International Telecommunication Union</b:JournalName>
    <b:RefOrder>21</b:RefOrder>
  </b:Source>
  <b:Source>
    <b:Tag>Les22</b:Tag>
    <b:SourceType>InternetSite</b:SourceType>
    <b:Guid>{87715101-474F-4CEA-AE3D-56BDF236812C}</b:Guid>
    <b:Title>Authorities probing if company broke any laws; Uber says no sign of fraud tied to 2016 hacking</b:Title>
    <b:YearAccessed>2022</b:YearAccessed>
    <b:MonthAccessed>Juli</b:MonthAccessed>
    <b:DayAccessed>22</b:DayAccessed>
    <b:URL>https://www.straitstimes.com/singapore/380000-uber-users-hit-in-spores-largest-data-breach.</b:URL>
    <b:Author>
      <b:Author>
        <b:NameList>
          <b:Person>
            <b:Last>Hio</b:Last>
            <b:First>Lester</b:First>
          </b:Person>
        </b:NameList>
      </b:Author>
    </b:Author>
    <b:RefOrder>22</b:RefOrder>
  </b:Source>
  <b:Source>
    <b:Tag>Won17</b:Tag>
    <b:SourceType>InternetSite</b:SourceType>
    <b:Guid>{FC5360B0-D8CC-4CCE-9802-6A6A541D5816}</b:Guid>
    <b:Author>
      <b:Author>
        <b:NameList>
          <b:Person>
            <b:Last>Wong</b:Last>
            <b:First>Julia</b:First>
            <b:Middle>Carrie</b:Middle>
          </b:Person>
        </b:NameList>
      </b:Author>
    </b:Author>
    <b:Title>Uber concealed massive hack that exposed data of 57m users and drivers</b:Title>
    <b:Year>2017</b:Year>
    <b:Month>November</b:Month>
    <b:Day>2017</b:Day>
    <b:YearAccessed>2022</b:YearAccessed>
    <b:MonthAccessed>Juli</b:MonthAccessed>
    <b:DayAccessed>30</b:DayAccessed>
    <b:URL>https://www.theguardian.com/technology/2017/nov/21/uber-data-hack-cyber-attack </b:URL>
    <b:RefOrder>23</b:RefOrder>
  </b:Source>
  <b:Source>
    <b:Tag>Sav07</b:Tag>
    <b:SourceType>JournalArticle</b:SourceType>
    <b:Guid>{6150DF45-ECAF-4E13-86FA-E0BA50989BDA}</b:Guid>
    <b:Author>
      <b:Author>
        <b:NameList>
          <b:Person>
            <b:Last>Savirimuthu</b:Last>
            <b:First>Joseph</b:First>
          </b:Person>
        </b:NameList>
      </b:Author>
    </b:Author>
    <b:Title>Identity Theft and Systems Theory: The Fraud Act 2006 in Perspective</b:Title>
    <b:Year>2007</b:Year>
    <b:JournalName>SCRIPT-ed</b:JournalName>
    <b:Pages>436–461</b:Pages>
    <b:Volume>4</b:Volume>
    <b:Issue>4</b:Issue>
    <b:RefOrder>24</b:RefOrder>
  </b:Source>
  <b:Source>
    <b:Tag>19Ja</b:Tag>
    <b:SourceType>InternetSite</b:SourceType>
    <b:Guid>{5D459955-FAC1-4AE0-B6A9-844679416C40}</b:Guid>
    <b:YearAccessed>2019</b:YearAccessed>
    <b:MonthAccessed>Januari</b:MonthAccessed>
    <b:DayAccessed>02</b:DayAccessed>
    <b:URL>See https://dictionary.law.com</b:URL>
    <b:RefOrder>25</b:RefOrder>
  </b:Source>
  <b:Source>
    <b:Tag>Wid21</b:Tag>
    <b:SourceType>JournalArticle</b:SourceType>
    <b:Guid>{A888A8A0-DE5D-4FA5-AB2F-C13A8BD50A9B}</b:Guid>
    <b:Title>Upaya Hukum dari Konsumen yang Mengalami Wanprestasi dalam Transaksi Jual Beli Online</b:Title>
    <b:Year>2021</b:Year>
    <b:Author>
      <b:Author>
        <b:NameList>
          <b:Person>
            <b:Last>Widiantara</b:Last>
            <b:First>I.</b:First>
            <b:Middle>Wayan, and I. Made Sarjana</b:Middle>
          </b:Person>
        </b:NameList>
      </b:Author>
    </b:Author>
    <b:JournalName>Jurnal Kertha Desa</b:JournalName>
    <b:Pages>23-32</b:Pages>
    <b:Volume>9</b:Volume>
    <b:RefOrder>26</b:RefOrder>
  </b:Source>
  <b:Source>
    <b:Tag>Des18</b:Tag>
    <b:SourceType>InternetSite</b:SourceType>
    <b:Guid>{6A97B162-DEDD-499F-9F6A-383B800A0CED}</b:Guid>
    <b:Title>70% of counterfeit products are sold online</b:Title>
    <b:Year>2018</b:Year>
    <b:Author>
      <b:Author>
        <b:NameList>
          <b:Person>
            <b:Last>Mooij</b:Last>
            <b:First>Desley</b:First>
          </b:Person>
        </b:NameList>
      </b:Author>
    </b:Author>
    <b:Month>Maret</b:Month>
    <b:Day>07</b:Day>
    <b:YearAccessed>2022</b:YearAccessed>
    <b:MonthAccessed>Agustus</b:MonthAccessed>
    <b:DayAccessed>22</b:DayAccessed>
    <b:URL>https://medium.com/sealnetwork/70-of-counterfeit-products-are-sold-online-c6eafe07083 </b:URL>
    <b:RefOrder>27</b:RefOrder>
  </b:Source>
  <b:Source>
    <b:Tag>CMG20</b:Tag>
    <b:SourceType>JournalArticle</b:SourceType>
    <b:Guid>{F3A15C0F-FCA6-43AC-87DC-BF4A12171BC9}</b:Guid>
    <b:Title>Identity theft: a small step towards big financial crimes</b:Title>
    <b:JournalName>Journal of Financial Crime</b:JournalName>
    <b:Year>2020</b:Year>
    <b:Pages>897-910</b:Pages>
    <b:Author>
      <b:Author>
        <b:NameList>
          <b:Person>
            <b:Last>Gupta</b:Last>
            <b:First>C.M.</b:First>
            <b:Middle>and Kumar, D.</b:Middle>
          </b:Person>
        </b:NameList>
      </b:Author>
    </b:Author>
    <b:Volume>27</b:Volume>
    <b:Issue>3</b:Issue>
    <b:RefOrder>28</b:RefOrder>
  </b:Source>
</b:Sources>
</file>

<file path=customXml/itemProps1.xml><?xml version="1.0" encoding="utf-8"?>
<ds:datastoreItem xmlns:ds="http://schemas.openxmlformats.org/officeDocument/2006/customXml" ds:itemID="{01FD404C-05F1-4310-85D6-CDD595099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11738</Words>
  <Characters>66913</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Sisfo</dc:creator>
  <cp:lastModifiedBy>Edy Santoso</cp:lastModifiedBy>
  <cp:revision>28</cp:revision>
  <cp:lastPrinted>2022-10-28T02:39:00Z</cp:lastPrinted>
  <dcterms:created xsi:type="dcterms:W3CDTF">2022-10-18T09:14:00Z</dcterms:created>
  <dcterms:modified xsi:type="dcterms:W3CDTF">2022-10-28T02:40:00Z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16d86e90-93cf-3a82-baee-f265fa70a8fb</vt:lpwstr>
  </property>
  <property fmtid="{D5CDD505-2E9C-101B-9397-08002B2CF9AE}" pid="24" name="Mendeley Citation Style_1">
    <vt:lpwstr>http://www.zotero.org/styles/turabian-fullnote-bibliography</vt:lpwstr>
  </property>
</Properties>
</file>