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header3.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before="11"/>
        <w:ind w:right="-68"/>
        <w:jc w:val="center"/>
        <w:rPr>
          <w:rFonts w:ascii="Arial" w:cs="Arial" w:hAnsi="Arial"/>
          <w:b/>
          <w:sz w:val="28"/>
          <w:szCs w:val="28"/>
        </w:rPr>
      </w:pPr>
      <w:r>
        <w:rPr>
          <w:rFonts w:ascii="Arial" w:cs="Arial" w:hAnsi="Arial"/>
          <w:b/>
          <w:sz w:val="28"/>
          <w:szCs w:val="28"/>
        </w:rPr>
        <w:t>PENDEKATAN SI</w:t>
      </w:r>
      <w:r>
        <w:rPr>
          <w:rFonts w:ascii="Arial" w:cs="Arial" w:hAnsi="Arial"/>
          <w:b/>
          <w:sz w:val="28"/>
          <w:szCs w:val="28"/>
        </w:rPr>
        <w:t>S</w:t>
      </w:r>
      <w:bookmarkStart w:id="0" w:name="_GoBack"/>
      <w:bookmarkEnd w:id="0"/>
      <w:r>
        <w:rPr>
          <w:rFonts w:ascii="Arial" w:cs="Arial" w:hAnsi="Arial"/>
          <w:b/>
          <w:sz w:val="28"/>
          <w:szCs w:val="28"/>
        </w:rPr>
        <w:t xml:space="preserve">TEM DALAM PENYELESAIAN </w:t>
      </w:r>
      <w:r>
        <w:rPr>
          <w:rFonts w:ascii="Arial" w:cs="Arial" w:hAnsi="Arial"/>
          <w:b/>
          <w:sz w:val="28"/>
          <w:szCs w:val="28"/>
          <w:lang w:val="en-US"/>
        </w:rPr>
        <w:t xml:space="preserve">UPAYA </w:t>
      </w:r>
      <w:r>
        <w:rPr>
          <w:rFonts w:ascii="Arial" w:cs="Arial" w:hAnsi="Arial"/>
          <w:b/>
          <w:sz w:val="28"/>
          <w:szCs w:val="28"/>
        </w:rPr>
        <w:t>KASASI</w:t>
      </w:r>
    </w:p>
    <w:p>
      <w:pPr>
        <w:pStyle w:val="style0"/>
        <w:spacing w:before="11"/>
        <w:ind w:right="-68"/>
        <w:jc w:val="center"/>
        <w:rPr>
          <w:rFonts w:ascii="Arial" w:cs="Arial" w:hAnsi="Arial"/>
          <w:b/>
          <w:sz w:val="28"/>
          <w:szCs w:val="28"/>
        </w:rPr>
      </w:pPr>
      <w:r>
        <w:rPr>
          <w:rFonts w:ascii="Arial" w:cs="Arial" w:hAnsi="Arial"/>
          <w:b/>
          <w:sz w:val="28"/>
          <w:szCs w:val="28"/>
        </w:rPr>
        <w:t>THE SYSTEM APPROACH TO THE SETTLEMENT OF CASSATION EFFORTS</w:t>
      </w:r>
    </w:p>
    <w:p>
      <w:pPr>
        <w:pStyle w:val="style0"/>
        <w:spacing w:before="11"/>
        <w:ind w:right="-68"/>
        <w:jc w:val="center"/>
        <w:rPr>
          <w:rFonts w:ascii="Arial" w:cs="Arial" w:hAnsi="Arial"/>
          <w:b/>
          <w:sz w:val="22"/>
          <w:szCs w:val="22"/>
          <w:lang w:val="id-ID"/>
        </w:rPr>
      </w:pPr>
    </w:p>
    <w:p>
      <w:pPr>
        <w:pStyle w:val="style0"/>
        <w:spacing w:before="11"/>
        <w:ind w:right="-68"/>
        <w:jc w:val="center"/>
        <w:rPr>
          <w:rFonts w:ascii="Arial" w:cs="Arial" w:hAnsi="Arial"/>
          <w:b/>
          <w:sz w:val="22"/>
          <w:szCs w:val="22"/>
          <w:lang w:val="id-ID"/>
        </w:rPr>
      </w:pPr>
      <w:r>
        <w:rPr>
          <w:rFonts w:ascii="Arial" w:cs="Arial" w:hAnsi="Arial"/>
          <w:b/>
          <w:sz w:val="22"/>
          <w:szCs w:val="22"/>
          <w:lang w:val="id-ID"/>
        </w:rPr>
        <w:t>Moch</w:t>
      </w:r>
      <w:r>
        <w:rPr>
          <w:rFonts w:ascii="Arial" w:cs="Arial" w:hAnsi="Arial"/>
          <w:b/>
          <w:sz w:val="22"/>
          <w:szCs w:val="22"/>
        </w:rPr>
        <w:t>.</w:t>
      </w:r>
      <w:r>
        <w:rPr>
          <w:rFonts w:ascii="Arial" w:cs="Arial" w:hAnsi="Arial"/>
          <w:b/>
          <w:sz w:val="22"/>
          <w:szCs w:val="22"/>
          <w:lang w:val="id-ID"/>
        </w:rPr>
        <w:t xml:space="preserve"> Ridwan</w:t>
      </w:r>
    </w:p>
    <w:p>
      <w:pPr>
        <w:pStyle w:val="style0"/>
        <w:spacing w:before="11"/>
        <w:ind w:right="-68"/>
        <w:jc w:val="center"/>
        <w:rPr>
          <w:rFonts w:ascii="Arial" w:cs="Arial" w:hAnsi="Arial"/>
          <w:b/>
          <w:sz w:val="22"/>
          <w:szCs w:val="22"/>
        </w:rPr>
      </w:pPr>
      <w:r>
        <w:rPr>
          <w:rFonts w:ascii="Arial" w:cs="Arial" w:hAnsi="Arial"/>
          <w:b/>
          <w:sz w:val="22"/>
          <w:szCs w:val="22"/>
          <w:lang w:val="id-ID"/>
        </w:rPr>
        <w:t xml:space="preserve"> </w:t>
      </w:r>
      <w:r>
        <w:rPr>
          <w:rFonts w:ascii="Arial" w:cs="Arial" w:hAnsi="Arial"/>
          <w:b/>
          <w:sz w:val="22"/>
          <w:szCs w:val="22"/>
        </w:rPr>
        <w:t>Balitbangdiklat Hukum dan Peradilan</w:t>
      </w:r>
      <w:r>
        <w:rPr>
          <w:rFonts w:ascii="Arial" w:cs="Arial" w:hAnsi="Arial"/>
          <w:b/>
          <w:sz w:val="22"/>
          <w:szCs w:val="22"/>
        </w:rPr>
        <w:t>, Mahkamah Agung R.I.</w:t>
      </w:r>
    </w:p>
    <w:p>
      <w:pPr>
        <w:pStyle w:val="style0"/>
        <w:spacing w:before="11"/>
        <w:ind w:right="-68"/>
        <w:jc w:val="center"/>
        <w:rPr>
          <w:rFonts w:ascii="Arial" w:cs="Arial" w:hAnsi="Arial"/>
          <w:sz w:val="22"/>
          <w:szCs w:val="22"/>
        </w:rPr>
      </w:pPr>
      <w:r>
        <w:rPr>
          <w:rFonts w:ascii="Arial" w:cs="Arial" w:hAnsi="Arial"/>
          <w:b/>
          <w:sz w:val="22"/>
          <w:szCs w:val="22"/>
        </w:rPr>
        <w:t>Jalan Cikopo Selatan, Desa Sukamaju, Gadog. Mega Mendung, Bogor, Jawa Barat</w:t>
      </w:r>
    </w:p>
    <w:p>
      <w:pPr>
        <w:pStyle w:val="style0"/>
        <w:spacing w:before="11"/>
        <w:ind w:right="-68"/>
        <w:jc w:val="center"/>
        <w:rPr>
          <w:rFonts w:ascii="Arial" w:cs="Arial" w:hAnsi="Arial"/>
          <w:b/>
          <w:sz w:val="22"/>
          <w:szCs w:val="22"/>
        </w:rPr>
      </w:pPr>
      <w:r>
        <w:rPr>
          <w:rFonts w:ascii="Arial" w:cs="Arial" w:hAnsi="Arial"/>
          <w:b/>
          <w:sz w:val="22"/>
          <w:szCs w:val="22"/>
          <w:lang w:val="id-ID"/>
        </w:rPr>
        <w:t>Tel</w:t>
      </w:r>
      <w:r>
        <w:rPr>
          <w:rFonts w:ascii="Arial" w:cs="Arial" w:hAnsi="Arial"/>
          <w:b/>
          <w:sz w:val="22"/>
          <w:szCs w:val="22"/>
          <w:lang w:val="en-ID"/>
        </w:rPr>
        <w:t>p.</w:t>
      </w:r>
      <w:r>
        <w:rPr>
          <w:rFonts w:ascii="Arial" w:cs="Arial" w:hAnsi="Arial"/>
          <w:b/>
          <w:sz w:val="22"/>
          <w:szCs w:val="22"/>
          <w:lang w:val="id-ID"/>
        </w:rPr>
        <w:t>/</w:t>
      </w:r>
      <w:r>
        <w:rPr>
          <w:rFonts w:ascii="Arial" w:cs="Arial" w:hAnsi="Arial"/>
          <w:b/>
          <w:sz w:val="22"/>
          <w:szCs w:val="22"/>
          <w:lang w:val="id-ID"/>
        </w:rPr>
        <w:t xml:space="preserve">Faksimili </w:t>
      </w:r>
      <w:r>
        <w:rPr>
          <w:rFonts w:ascii="Arial" w:cs="Arial" w:hAnsi="Arial"/>
          <w:b/>
          <w:sz w:val="22"/>
          <w:szCs w:val="22"/>
        </w:rPr>
        <w:t>0251 8249520, 0251 8249548</w:t>
      </w:r>
    </w:p>
    <w:p>
      <w:pPr>
        <w:pStyle w:val="style0"/>
        <w:spacing w:before="11"/>
        <w:ind w:right="-68"/>
        <w:jc w:val="center"/>
        <w:rPr>
          <w:rFonts w:ascii="Arial" w:cs="Arial" w:hAnsi="Arial"/>
          <w:sz w:val="22"/>
          <w:szCs w:val="22"/>
          <w:lang w:val="id-ID"/>
        </w:rPr>
      </w:pPr>
      <w:r>
        <w:rPr>
          <w:rFonts w:ascii="Arial" w:cs="Arial" w:hAnsi="Arial"/>
          <w:b/>
          <w:sz w:val="22"/>
          <w:szCs w:val="22"/>
          <w:lang w:val="id-ID"/>
        </w:rPr>
        <w:t>e-mail</w:t>
      </w:r>
      <w:r>
        <w:rPr>
          <w:rFonts w:ascii="Arial" w:cs="Arial" w:hAnsi="Arial"/>
          <w:b/>
          <w:sz w:val="22"/>
          <w:szCs w:val="22"/>
        </w:rPr>
        <w:t xml:space="preserve">; </w:t>
      </w:r>
      <w:r>
        <w:rPr>
          <w:rFonts w:ascii="Arial" w:cs="Arial" w:eastAsia="Calibri" w:hAnsi="Arial"/>
          <w:sz w:val="24"/>
          <w:szCs w:val="24"/>
        </w:rPr>
        <w:t>www.r</w:t>
      </w:r>
      <w:r>
        <w:rPr>
          <w:rFonts w:ascii="Arial" w:cs="Arial" w:eastAsia="Calibri" w:hAnsi="Arial"/>
          <w:sz w:val="24"/>
          <w:szCs w:val="24"/>
          <w:lang w:val="en-US"/>
        </w:rPr>
        <w:t>mariz</w:t>
      </w:r>
      <w:r>
        <w:rPr>
          <w:rFonts w:ascii="Arial" w:cs="Arial" w:eastAsia="Calibri" w:hAnsi="Arial"/>
          <w:sz w:val="24"/>
          <w:szCs w:val="24"/>
        </w:rPr>
        <w:t>@</w:t>
      </w:r>
      <w:r>
        <w:rPr>
          <w:rFonts w:ascii="Arial" w:cs="Arial" w:eastAsia="Calibri" w:hAnsi="Arial"/>
          <w:sz w:val="24"/>
          <w:szCs w:val="24"/>
          <w:lang w:val="en-US"/>
        </w:rPr>
        <w:t>y</w:t>
      </w:r>
      <w:r>
        <w:rPr>
          <w:rFonts w:ascii="Arial" w:cs="Arial" w:eastAsia="Calibri" w:hAnsi="Arial"/>
          <w:sz w:val="24"/>
          <w:szCs w:val="24"/>
        </w:rPr>
        <w:t>mail.com</w:t>
      </w:r>
    </w:p>
    <w:p>
      <w:pPr>
        <w:pStyle w:val="style0"/>
        <w:ind w:right="-68"/>
        <w:rPr>
          <w:rFonts w:ascii="Arial" w:cs="Arial" w:hAnsi="Arial"/>
          <w:sz w:val="22"/>
          <w:szCs w:val="22"/>
          <w:lang w:val="en-GB"/>
        </w:rPr>
      </w:pPr>
    </w:p>
    <w:p>
      <w:pPr>
        <w:pStyle w:val="style0"/>
        <w:rPr>
          <w:rFonts w:ascii="Arial" w:cs="Arial" w:hAnsi="Arial"/>
          <w:lang w:val="id-ID"/>
        </w:rPr>
      </w:pPr>
    </w:p>
    <w:p>
      <w:pPr>
        <w:pStyle w:val="style0"/>
        <w:jc w:val="center"/>
        <w:rPr>
          <w:rFonts w:ascii="Arial" w:cs="Arial" w:hAnsi="Arial"/>
          <w:sz w:val="26"/>
          <w:szCs w:val="26"/>
          <w:lang w:val="en-GB"/>
        </w:rPr>
      </w:pPr>
      <w:r>
        <w:rPr>
          <w:rFonts w:ascii="Arial" w:cs="Arial" w:hAnsi="Arial"/>
          <w:b/>
          <w:sz w:val="26"/>
          <w:szCs w:val="26"/>
          <w:lang w:val="id-ID"/>
        </w:rPr>
        <w:t>A</w:t>
      </w:r>
      <w:r>
        <w:rPr>
          <w:rFonts w:ascii="Arial" w:cs="Arial" w:hAnsi="Arial"/>
          <w:b/>
          <w:sz w:val="26"/>
          <w:szCs w:val="26"/>
          <w:lang w:val="en-GB"/>
        </w:rPr>
        <w:t>bstrak</w:t>
      </w:r>
    </w:p>
    <w:p>
      <w:pPr>
        <w:pStyle w:val="style0"/>
        <w:rPr>
          <w:rFonts w:ascii="Arial" w:cs="Arial" w:hAnsi="Arial"/>
          <w:sz w:val="22"/>
          <w:szCs w:val="22"/>
          <w:lang w:val="id-ID"/>
        </w:rPr>
      </w:pPr>
    </w:p>
    <w:p>
      <w:pPr>
        <w:pStyle w:val="style0"/>
        <w:jc w:val="both"/>
        <w:rPr>
          <w:rFonts w:ascii="Arial" w:cs="Arial" w:hAnsi="Arial"/>
          <w:i/>
          <w:iCs/>
          <w:sz w:val="24"/>
          <w:szCs w:val="24"/>
        </w:rPr>
      </w:pPr>
      <w:r>
        <w:rPr>
          <w:rFonts w:ascii="Arial" w:cs="Arial" w:hAnsi="Arial"/>
          <w:i/>
          <w:iCs/>
          <w:sz w:val="24"/>
          <w:szCs w:val="24"/>
        </w:rPr>
        <w:t xml:space="preserve">Makalah ini membahas peran </w:t>
      </w:r>
      <w:r>
        <w:rPr>
          <w:rFonts w:ascii="Arial" w:cs="Arial" w:hAnsi="Arial"/>
          <w:i/>
          <w:iCs/>
          <w:sz w:val="24"/>
          <w:szCs w:val="24"/>
        </w:rPr>
        <w:t xml:space="preserve">struktur </w:t>
      </w:r>
      <w:r>
        <w:rPr>
          <w:rFonts w:ascii="Arial" w:cs="Arial" w:hAnsi="Arial"/>
          <w:i/>
          <w:iCs/>
          <w:sz w:val="24"/>
          <w:szCs w:val="24"/>
        </w:rPr>
        <w:t xml:space="preserve">kelembagaan yang terkait dengan fungsi </w:t>
      </w:r>
      <w:r>
        <w:rPr>
          <w:rFonts w:ascii="Arial" w:cs="Arial" w:hAnsi="Arial"/>
          <w:i/>
          <w:iCs/>
          <w:sz w:val="24"/>
          <w:szCs w:val="24"/>
        </w:rPr>
        <w:t>organisasi dalam menyelesaikan perkara pada tingkat kasasi,</w:t>
      </w:r>
      <w:r>
        <w:rPr>
          <w:rFonts w:ascii="Arial" w:cs="Arial" w:hAnsi="Arial"/>
          <w:i/>
          <w:iCs/>
          <w:sz w:val="24"/>
          <w:szCs w:val="24"/>
        </w:rPr>
        <w:t xml:space="preserve"> Mahkamah Agung </w:t>
      </w:r>
      <w:r>
        <w:rPr>
          <w:rFonts w:ascii="Arial" w:cs="Arial" w:hAnsi="Arial"/>
          <w:i/>
          <w:iCs/>
          <w:sz w:val="24"/>
          <w:szCs w:val="24"/>
        </w:rPr>
        <w:t xml:space="preserve">Republik </w:t>
      </w:r>
      <w:r>
        <w:rPr>
          <w:rFonts w:ascii="Arial" w:cs="Arial" w:hAnsi="Arial"/>
          <w:i/>
          <w:iCs/>
          <w:sz w:val="24"/>
          <w:szCs w:val="24"/>
        </w:rPr>
        <w:t>Indonesia</w:t>
      </w:r>
      <w:r>
        <w:rPr>
          <w:rFonts w:ascii="Arial" w:cs="Arial" w:hAnsi="Arial"/>
          <w:i/>
          <w:iCs/>
          <w:sz w:val="24"/>
          <w:szCs w:val="24"/>
        </w:rPr>
        <w:t xml:space="preserve">. </w:t>
      </w:r>
      <w:r>
        <w:rPr>
          <w:rFonts w:ascii="Arial" w:cs="Arial" w:hAnsi="Arial"/>
          <w:i/>
          <w:iCs/>
          <w:sz w:val="24"/>
          <w:szCs w:val="24"/>
        </w:rPr>
        <w:t xml:space="preserve"> </w:t>
      </w:r>
      <w:r>
        <w:rPr>
          <w:rFonts w:ascii="Arial" w:cs="Arial" w:hAnsi="Arial"/>
          <w:i/>
          <w:iCs/>
          <w:sz w:val="24"/>
          <w:szCs w:val="24"/>
        </w:rPr>
        <w:t>P</w:t>
      </w:r>
      <w:r>
        <w:rPr>
          <w:rFonts w:ascii="Arial" w:cs="Arial" w:hAnsi="Arial"/>
          <w:i/>
          <w:iCs/>
          <w:sz w:val="24"/>
          <w:szCs w:val="24"/>
        </w:rPr>
        <w:t xml:space="preserve">elaksanaan prinsip penyelesaian </w:t>
      </w:r>
      <w:r>
        <w:rPr>
          <w:rFonts w:ascii="Arial" w:cs="Arial" w:hAnsi="Arial"/>
          <w:i/>
          <w:iCs/>
          <w:sz w:val="24"/>
          <w:szCs w:val="24"/>
        </w:rPr>
        <w:t>perkara</w:t>
      </w:r>
      <w:r>
        <w:rPr>
          <w:rFonts w:ascii="Arial" w:cs="Arial" w:hAnsi="Arial"/>
          <w:i/>
          <w:iCs/>
          <w:sz w:val="24"/>
          <w:szCs w:val="24"/>
        </w:rPr>
        <w:t xml:space="preserve"> yang cepat</w:t>
      </w:r>
      <w:r>
        <w:rPr>
          <w:rFonts w:ascii="Arial" w:cs="Arial" w:hAnsi="Arial"/>
          <w:i/>
          <w:iCs/>
          <w:sz w:val="24"/>
          <w:szCs w:val="24"/>
        </w:rPr>
        <w:t>, sederhana dan biaya ringan</w:t>
      </w:r>
      <w:r>
        <w:rPr>
          <w:rFonts w:ascii="Arial" w:cs="Arial" w:hAnsi="Arial"/>
          <w:i/>
          <w:iCs/>
          <w:sz w:val="24"/>
          <w:szCs w:val="24"/>
        </w:rPr>
        <w:t>, secara terus-menerus diupayakan</w:t>
      </w:r>
      <w:r>
        <w:rPr>
          <w:rFonts w:ascii="Arial" w:cs="Arial" w:hAnsi="Arial"/>
          <w:i/>
          <w:iCs/>
          <w:sz w:val="24"/>
          <w:szCs w:val="24"/>
        </w:rPr>
        <w:t xml:space="preserve">. </w:t>
      </w:r>
      <w:r>
        <w:rPr>
          <w:rFonts w:ascii="Arial" w:cs="Arial" w:hAnsi="Arial"/>
          <w:i/>
          <w:iCs/>
          <w:sz w:val="24"/>
          <w:szCs w:val="24"/>
        </w:rPr>
        <w:t>P</w:t>
      </w:r>
      <w:r>
        <w:rPr>
          <w:rFonts w:ascii="Arial" w:cs="Arial" w:hAnsi="Arial"/>
          <w:i/>
          <w:iCs/>
          <w:sz w:val="24"/>
          <w:szCs w:val="24"/>
        </w:rPr>
        <w:t xml:space="preserve">enyelesaian perkara di tingkat Kasasi </w:t>
      </w:r>
      <w:r>
        <w:rPr>
          <w:rFonts w:ascii="Arial" w:cs="Arial" w:hAnsi="Arial"/>
          <w:i/>
          <w:iCs/>
          <w:sz w:val="24"/>
          <w:szCs w:val="24"/>
        </w:rPr>
        <w:t>merupakan</w:t>
      </w:r>
      <w:r>
        <w:rPr>
          <w:rFonts w:ascii="Arial" w:cs="Arial" w:hAnsi="Arial"/>
          <w:i/>
          <w:iCs/>
          <w:sz w:val="24"/>
          <w:szCs w:val="24"/>
        </w:rPr>
        <w:t xml:space="preserve"> masalah yang </w:t>
      </w:r>
      <w:r>
        <w:rPr>
          <w:rFonts w:ascii="Arial" w:cs="Arial" w:hAnsi="Arial"/>
          <w:i/>
          <w:iCs/>
          <w:sz w:val="24"/>
          <w:szCs w:val="24"/>
        </w:rPr>
        <w:t>selalu</w:t>
      </w:r>
      <w:r>
        <w:rPr>
          <w:rFonts w:ascii="Arial" w:cs="Arial" w:hAnsi="Arial"/>
          <w:i/>
          <w:iCs/>
          <w:sz w:val="24"/>
          <w:szCs w:val="24"/>
        </w:rPr>
        <w:t xml:space="preserve"> </w:t>
      </w:r>
      <w:r>
        <w:rPr>
          <w:rFonts w:ascii="Arial" w:cs="Arial" w:hAnsi="Arial"/>
          <w:i/>
          <w:iCs/>
          <w:sz w:val="24"/>
          <w:szCs w:val="24"/>
        </w:rPr>
        <w:t>menjadi perhatian publik</w:t>
      </w:r>
      <w:r>
        <w:rPr>
          <w:rFonts w:ascii="Arial" w:cs="Arial" w:hAnsi="Arial"/>
          <w:i/>
          <w:iCs/>
          <w:sz w:val="24"/>
          <w:szCs w:val="24"/>
        </w:rPr>
        <w:t>, Pengacara</w:t>
      </w:r>
      <w:r>
        <w:rPr>
          <w:rFonts w:ascii="Arial" w:cs="Arial" w:hAnsi="Arial"/>
          <w:i/>
          <w:iCs/>
          <w:sz w:val="24"/>
          <w:szCs w:val="24"/>
        </w:rPr>
        <w:t xml:space="preserve">, </w:t>
      </w:r>
      <w:r>
        <w:rPr>
          <w:rFonts w:ascii="Arial" w:cs="Arial" w:hAnsi="Arial"/>
          <w:i/>
          <w:iCs/>
          <w:sz w:val="24"/>
          <w:szCs w:val="24"/>
        </w:rPr>
        <w:t xml:space="preserve">Jaksa maupun </w:t>
      </w:r>
      <w:r>
        <w:rPr>
          <w:rFonts w:ascii="Arial" w:cs="Arial" w:hAnsi="Arial"/>
          <w:i/>
          <w:iCs/>
          <w:sz w:val="24"/>
          <w:szCs w:val="24"/>
        </w:rPr>
        <w:t>Hakim</w:t>
      </w:r>
      <w:r>
        <w:rPr>
          <w:rFonts w:ascii="Arial" w:cs="Arial" w:hAnsi="Arial"/>
          <w:i/>
          <w:iCs/>
          <w:sz w:val="24"/>
          <w:szCs w:val="24"/>
        </w:rPr>
        <w:t>, terutama pada masa reformasi birokrasi saat ini.</w:t>
      </w:r>
      <w:r>
        <w:rPr>
          <w:rFonts w:ascii="Arial" w:cs="Arial" w:hAnsi="Arial"/>
          <w:i/>
          <w:iCs/>
          <w:sz w:val="24"/>
          <w:szCs w:val="24"/>
        </w:rPr>
        <w:t xml:space="preserve"> </w:t>
      </w:r>
      <w:r>
        <w:rPr>
          <w:rFonts w:ascii="Arial" w:cs="Arial" w:hAnsi="Arial"/>
          <w:bCs/>
          <w:i/>
          <w:iCs/>
          <w:color w:val="000000"/>
          <w:sz w:val="24"/>
          <w:szCs w:val="24"/>
          <w:lang w:val="id-ID"/>
        </w:rPr>
        <w:t xml:space="preserve">Peran kelembagaan saat ini, yang berhubungan dengan fungsi dan struktur organisasi berpengaruh signifikan terhadap pelaksanaan prinsip </w:t>
      </w:r>
      <w:r>
        <w:rPr>
          <w:rFonts w:ascii="Arial" w:cs="Arial" w:hAnsi="Arial"/>
          <w:bCs/>
          <w:i/>
          <w:iCs/>
          <w:color w:val="000000"/>
          <w:sz w:val="24"/>
          <w:szCs w:val="24"/>
        </w:rPr>
        <w:t xml:space="preserve">peradilan, </w:t>
      </w:r>
      <w:r>
        <w:rPr>
          <w:rFonts w:ascii="Arial" w:cs="Arial" w:hAnsi="Arial"/>
          <w:bCs/>
          <w:i/>
          <w:iCs/>
          <w:color w:val="000000"/>
          <w:sz w:val="24"/>
          <w:szCs w:val="24"/>
          <w:lang w:val="id-ID"/>
        </w:rPr>
        <w:t>sedangkan mekanisme alur penyelesaian perkara kasasi berpengaruh pada terganggunya</w:t>
      </w:r>
      <w:r>
        <w:rPr>
          <w:rFonts w:ascii="Arial" w:cs="Arial" w:hAnsi="Arial"/>
          <w:bCs/>
          <w:i/>
          <w:iCs/>
          <w:color w:val="000000"/>
          <w:sz w:val="24"/>
          <w:szCs w:val="24"/>
        </w:rPr>
        <w:t xml:space="preserve"> waktu dan biaya</w:t>
      </w:r>
      <w:r>
        <w:rPr>
          <w:rFonts w:ascii="Arial" w:cs="Arial" w:hAnsi="Arial"/>
          <w:bCs/>
          <w:i/>
          <w:iCs/>
          <w:color w:val="000000"/>
          <w:sz w:val="24"/>
          <w:szCs w:val="24"/>
          <w:lang w:val="id-ID"/>
        </w:rPr>
        <w:t xml:space="preserve"> penyelesaia</w:t>
      </w:r>
      <w:r>
        <w:rPr>
          <w:rFonts w:ascii="Arial" w:cs="Arial" w:hAnsi="Arial"/>
          <w:bCs/>
          <w:i/>
          <w:iCs/>
          <w:color w:val="000000"/>
          <w:sz w:val="24"/>
          <w:szCs w:val="24"/>
        </w:rPr>
        <w:t>n</w:t>
      </w:r>
      <w:r>
        <w:rPr>
          <w:rFonts w:ascii="Arial" w:cs="Arial" w:hAnsi="Arial"/>
          <w:bCs/>
          <w:i/>
          <w:iCs/>
          <w:color w:val="000000"/>
          <w:sz w:val="24"/>
          <w:szCs w:val="24"/>
          <w:lang w:val="id-ID"/>
        </w:rPr>
        <w:t>.</w:t>
      </w:r>
      <w:r>
        <w:rPr>
          <w:rFonts w:ascii="Arial" w:cs="Arial" w:hAnsi="Arial"/>
          <w:bCs/>
          <w:i/>
          <w:iCs/>
          <w:color w:val="000000"/>
          <w:sz w:val="24"/>
          <w:szCs w:val="24"/>
        </w:rPr>
        <w:t xml:space="preserve">  </w:t>
      </w:r>
      <w:r>
        <w:rPr>
          <w:rFonts w:ascii="Arial" w:cs="Arial" w:hAnsi="Arial"/>
          <w:bCs/>
          <w:i/>
          <w:iCs/>
          <w:color w:val="000000"/>
          <w:sz w:val="24"/>
          <w:szCs w:val="24"/>
        </w:rPr>
        <w:t xml:space="preserve">Penyelesaian perkara yang harus diselesaikan pada tingkat pusat tersebut, dapat dilihat dari penerapan sistem yang diberlakukan. </w:t>
      </w:r>
      <w:r>
        <w:rPr>
          <w:rFonts w:ascii="Arial" w:cs="Arial" w:hAnsi="Arial"/>
          <w:i/>
          <w:iCs/>
          <w:color w:val="000000"/>
          <w:sz w:val="24"/>
          <w:szCs w:val="24"/>
          <w:lang w:bidi="en-US"/>
        </w:rPr>
        <w:t xml:space="preserve">Metode penelitian evaluasi ini merupakan </w:t>
      </w:r>
      <w:r>
        <w:rPr>
          <w:rFonts w:ascii="Arial" w:cs="Arial" w:hAnsi="Arial"/>
          <w:i/>
          <w:iCs/>
          <w:color w:val="000000"/>
          <w:sz w:val="24"/>
          <w:szCs w:val="24"/>
          <w:lang w:val="id-ID" w:bidi="en-US"/>
        </w:rPr>
        <w:t>kombinasi pendekatan yuridis normatif dan yuridis empiris</w:t>
      </w:r>
      <w:r>
        <w:rPr>
          <w:rFonts w:ascii="Arial" w:cs="Arial" w:hAnsi="Arial"/>
          <w:i/>
          <w:iCs/>
          <w:color w:val="000000"/>
          <w:sz w:val="24"/>
          <w:szCs w:val="24"/>
          <w:lang w:bidi="en-US"/>
        </w:rPr>
        <w:t xml:space="preserve"> yang </w:t>
      </w:r>
      <w:r>
        <w:rPr>
          <w:rFonts w:ascii="Arial" w:cs="Arial" w:hAnsi="Arial"/>
          <w:i/>
          <w:iCs/>
          <w:color w:val="000000"/>
          <w:sz w:val="24"/>
          <w:szCs w:val="24"/>
          <w:lang w:val="id-ID" w:bidi="en-US"/>
        </w:rPr>
        <w:t xml:space="preserve">bersifat </w:t>
      </w:r>
      <w:r>
        <w:rPr>
          <w:rFonts w:ascii="Arial" w:cs="Arial" w:hAnsi="Arial"/>
          <w:i/>
          <w:iCs/>
          <w:color w:val="000000"/>
          <w:sz w:val="24"/>
          <w:szCs w:val="24"/>
          <w:lang w:bidi="en-US"/>
        </w:rPr>
        <w:t>pr</w:t>
      </w:r>
      <w:r>
        <w:rPr>
          <w:rFonts w:ascii="Arial" w:cs="Arial" w:hAnsi="Arial"/>
          <w:i/>
          <w:iCs/>
          <w:color w:val="000000"/>
          <w:sz w:val="24"/>
          <w:szCs w:val="24"/>
          <w:lang w:val="id-ID" w:bidi="en-US"/>
        </w:rPr>
        <w:t>eskriptif analitis</w:t>
      </w:r>
      <w:r>
        <w:rPr>
          <w:rFonts w:ascii="Arial" w:cs="Arial" w:hAnsi="Arial"/>
          <w:i/>
          <w:iCs/>
          <w:color w:val="000000"/>
          <w:sz w:val="24"/>
          <w:szCs w:val="24"/>
          <w:lang w:bidi="en-US"/>
        </w:rPr>
        <w:t>.  P</w:t>
      </w:r>
      <w:r>
        <w:rPr>
          <w:rFonts w:ascii="Arial" w:cs="Arial" w:hAnsi="Arial"/>
          <w:i/>
          <w:iCs/>
          <w:color w:val="000000"/>
          <w:sz w:val="24"/>
          <w:szCs w:val="24"/>
        </w:rPr>
        <w:t xml:space="preserve">enyelesaian perkara kasasi yang rumit, mengalami keterlambatan dan biaya tinggi tersebut, satu diantaranya disebabkan oleh prosedur dan alur administrasi yang kurang tepat, sehingga berpengaruh pada penyelesaian kasasi </w:t>
      </w:r>
      <w:r>
        <w:rPr>
          <w:rFonts w:ascii="Arial" w:cs="Arial" w:hAnsi="Arial"/>
          <w:i/>
          <w:iCs/>
          <w:color w:val="000000"/>
          <w:sz w:val="24"/>
          <w:szCs w:val="24"/>
        </w:rPr>
        <w:t>yang lebih efektif</w:t>
      </w:r>
      <w:r>
        <w:rPr>
          <w:rFonts w:ascii="Arial" w:cs="Arial" w:hAnsi="Arial"/>
          <w:i/>
          <w:iCs/>
          <w:color w:val="000000"/>
          <w:sz w:val="24"/>
          <w:szCs w:val="24"/>
          <w:lang w:val="id-ID"/>
        </w:rPr>
        <w:t>.</w:t>
      </w:r>
      <w:r>
        <w:rPr>
          <w:rFonts w:ascii="Arial" w:cs="Arial" w:hAnsi="Arial"/>
          <w:i/>
          <w:iCs/>
          <w:color w:val="000000"/>
          <w:sz w:val="24"/>
          <w:szCs w:val="24"/>
        </w:rPr>
        <w:t xml:space="preserve">  Efektivitas sistem yang menjadi masalah di pusat tersebut, tentunya dapat menjadi pertimbangan lain dengan mengembangkan penyelesaian efektivitas di daerah/provinsi.</w:t>
      </w:r>
    </w:p>
    <w:p>
      <w:pPr>
        <w:pStyle w:val="style0"/>
        <w:tabs>
          <w:tab w:val="left" w:leader="none" w:pos="916"/>
          <w:tab w:val="left" w:leader="none" w:pos="1440"/>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w:cs="Arial" w:hAnsi="Arial"/>
          <w:sz w:val="24"/>
          <w:szCs w:val="24"/>
        </w:rPr>
      </w:pPr>
      <w:r>
        <w:rPr>
          <w:rFonts w:ascii="Arial" w:cs="Arial" w:hAnsi="Arial"/>
          <w:b/>
          <w:sz w:val="24"/>
          <w:szCs w:val="24"/>
        </w:rPr>
        <w:t xml:space="preserve">Kata kunci: </w:t>
      </w:r>
      <w:r>
        <w:rPr>
          <w:rFonts w:ascii="Arial" w:cs="Arial" w:hAnsi="Arial"/>
          <w:b/>
          <w:i/>
          <w:sz w:val="24"/>
          <w:szCs w:val="24"/>
        </w:rPr>
        <w:t xml:space="preserve">Mahkamah Agung, Reformasi Birokrasi, </w:t>
      </w:r>
      <w:r>
        <w:rPr>
          <w:rFonts w:ascii="Arial" w:cs="Arial" w:hAnsi="Arial"/>
          <w:b/>
          <w:i/>
          <w:sz w:val="24"/>
          <w:szCs w:val="24"/>
        </w:rPr>
        <w:t>Kasasi, Sistem.</w:t>
      </w:r>
    </w:p>
    <w:p>
      <w:pPr>
        <w:pStyle w:val="style0"/>
        <w:jc w:val="center"/>
        <w:rPr>
          <w:rFonts w:ascii="Arial" w:cs="Arial" w:hAnsi="Arial"/>
          <w:b/>
          <w:i/>
          <w:sz w:val="26"/>
          <w:szCs w:val="26"/>
          <w:lang w:val="en-GB"/>
        </w:rPr>
      </w:pPr>
    </w:p>
    <w:p>
      <w:pPr>
        <w:pStyle w:val="style0"/>
        <w:jc w:val="center"/>
        <w:rPr>
          <w:rFonts w:ascii="Arial" w:cs="Arial" w:hAnsi="Arial"/>
          <w:b/>
          <w:i/>
          <w:sz w:val="26"/>
          <w:szCs w:val="26"/>
          <w:lang w:val="en-GB"/>
        </w:rPr>
      </w:pPr>
      <w:r>
        <w:rPr>
          <w:rFonts w:ascii="Arial" w:cs="Arial" w:hAnsi="Arial"/>
          <w:b/>
          <w:i/>
          <w:sz w:val="26"/>
          <w:szCs w:val="26"/>
          <w:lang w:val="id-ID"/>
        </w:rPr>
        <w:t>A</w:t>
      </w:r>
      <w:r>
        <w:rPr>
          <w:rFonts w:ascii="Arial" w:cs="Arial" w:hAnsi="Arial"/>
          <w:b/>
          <w:i/>
          <w:sz w:val="26"/>
          <w:szCs w:val="26"/>
          <w:lang w:val="en-GB"/>
        </w:rPr>
        <w:t>bstract</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both"/>
        <w:rPr>
          <w:rFonts w:ascii="Arial" w:cs="Arial" w:hAnsi="Arial"/>
          <w:i/>
          <w:iCs/>
          <w:sz w:val="24"/>
          <w:szCs w:val="24"/>
        </w:rPr>
      </w:pPr>
      <w:r>
        <w:rPr>
          <w:rFonts w:ascii="Arial" w:cs="Arial" w:hAnsi="Arial"/>
          <w:i/>
          <w:iCs/>
          <w:sz w:val="24"/>
          <w:szCs w:val="24"/>
        </w:rPr>
        <w:t>This paper discusses the role of institutional structures related to organizational functions in resolving cases at the cassation level, the Supreme Court of the Republic of Indonesia. The principle of fast, simple and low cost settlement of cases is continuously pursued. Settlement of cases at the Cassation level is a problem that has always been a concern of the public, lawyers, prosecutors and judges, especially during the current bureaucratic reform era. The current institutional role, which is related to the function and organizational structure, has a significant effect on the implementation of judicial principles, while the mechanism for the settlement of cassation cases affects the time and costs of settlement. Settlement of cases that must be resolved at the central level can be seen from the application of the system in force. This evaluation research method is a combination of juridical normative and empirical juridical approaches that are analytical prescriptive in nature. The completion of cassation cases which are complicated, experience delays and high costs, one of which is due to inaccurate administrative procedures and flow, thus influencing the more effective settlement of cassations. The effectiveness of the system which is a problem at the center, of course, can be another consideration by developing effectiveness solutions in the regions / provinces.</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both"/>
        <w:rPr>
          <w:rFonts w:ascii="Arial" w:cs="Arial" w:hAnsi="Arial"/>
          <w:sz w:val="24"/>
          <w:szCs w:val="24"/>
        </w:rPr>
      </w:pPr>
      <w:r>
        <w:rPr>
          <w:rFonts w:ascii="Arial" w:cs="Arial" w:hAnsi="Arial"/>
          <w:b/>
          <w:i/>
          <w:sz w:val="24"/>
          <w:szCs w:val="24"/>
        </w:rPr>
        <w:t>Keywords: Supreme Court, Bureaucratic Reform, Cassation, System.</w:t>
      </w:r>
    </w:p>
    <w:p>
      <w:pPr>
        <w:pStyle w:val="style0"/>
        <w:rPr>
          <w:rFonts w:ascii="Arial" w:cs="Arial" w:hAnsi="Arial"/>
          <w:i/>
          <w:sz w:val="26"/>
          <w:szCs w:val="26"/>
          <w:lang w:val="en-GB"/>
        </w:rPr>
      </w:pPr>
    </w:p>
    <w:p>
      <w:pPr>
        <w:pStyle w:val="style0"/>
        <w:rPr>
          <w:rFonts w:ascii="Arial" w:cs="Arial" w:hAnsi="Arial"/>
          <w:sz w:val="26"/>
          <w:szCs w:val="26"/>
          <w:lang w:val="id-ID"/>
        </w:rPr>
      </w:pPr>
    </w:p>
    <w:p>
      <w:pPr>
        <w:pStyle w:val="style0"/>
        <w:rPr>
          <w:rFonts w:ascii="Arial" w:cs="Arial" w:hAnsi="Arial"/>
          <w:sz w:val="26"/>
          <w:szCs w:val="26"/>
          <w:lang w:val="id-ID"/>
        </w:rPr>
      </w:pPr>
    </w:p>
    <w:p>
      <w:pPr>
        <w:pStyle w:val="style0"/>
        <w:rPr>
          <w:rFonts w:ascii="Arial" w:cs="Arial" w:hAnsi="Arial"/>
          <w:sz w:val="26"/>
          <w:szCs w:val="26"/>
          <w:lang w:val="id-ID"/>
        </w:rPr>
      </w:pPr>
    </w:p>
    <w:p>
      <w:pPr>
        <w:pStyle w:val="style0"/>
        <w:rPr>
          <w:rFonts w:ascii="Arial" w:cs="Arial" w:hAnsi="Arial"/>
          <w:sz w:val="26"/>
          <w:szCs w:val="26"/>
          <w:lang w:val="id-ID"/>
        </w:rPr>
      </w:pPr>
    </w:p>
    <w:p>
      <w:pPr>
        <w:pStyle w:val="style0"/>
        <w:spacing w:before="57"/>
        <w:ind w:right="5201"/>
        <w:jc w:val="both"/>
        <w:rPr>
          <w:rFonts w:ascii="Arial" w:cs="Arial" w:hAnsi="Arial"/>
          <w:sz w:val="22"/>
          <w:szCs w:val="22"/>
          <w:lang w:val="id-ID"/>
        </w:rPr>
        <w:sectPr>
          <w:headerReference w:type="default" r:id="rId2"/>
          <w:footerReference w:type="default" r:id="rId3"/>
          <w:type w:val="continuous"/>
          <w:pgSz w:w="12140" w:h="17080" w:orient="portrait"/>
          <w:pgMar w:top="1580" w:right="820" w:bottom="280" w:left="1040" w:header="713" w:footer="731" w:gutter="0"/>
          <w:pgNumType w:start="1"/>
          <w:cols w:space="720"/>
        </w:sectPr>
      </w:pPr>
    </w:p>
    <w:p>
      <w:pPr>
        <w:pStyle w:val="style0"/>
        <w:jc w:val="center"/>
        <w:rPr>
          <w:rFonts w:ascii="Arial" w:cs="Arial" w:hAnsi="Arial"/>
          <w:b/>
          <w:sz w:val="24"/>
          <w:szCs w:val="24"/>
          <w:lang w:val="id-ID"/>
        </w:rPr>
      </w:pPr>
      <w:r>
        <w:rPr>
          <w:rFonts w:ascii="Arial" w:cs="Arial" w:hAnsi="Arial"/>
          <w:b/>
          <w:sz w:val="24"/>
          <w:szCs w:val="24"/>
          <w:lang w:val="id-ID"/>
        </w:rPr>
        <w:t>PENDAHULUAN</w:t>
      </w:r>
    </w:p>
    <w:p>
      <w:pPr>
        <w:pStyle w:val="style0"/>
        <w:spacing w:before="120"/>
        <w:jc w:val="both"/>
        <w:rPr>
          <w:rFonts w:ascii="Arial" w:cs="Arial" w:hAnsi="Arial"/>
          <w:b/>
          <w:bCs/>
          <w:sz w:val="24"/>
          <w:szCs w:val="24"/>
          <w:lang w:val="en-GB"/>
        </w:rPr>
      </w:pPr>
      <w:r>
        <w:rPr>
          <w:rFonts w:ascii="Arial" w:cs="Arial" w:hAnsi="Arial"/>
          <w:b/>
          <w:bCs/>
          <w:sz w:val="24"/>
          <w:szCs w:val="24"/>
          <w:lang w:val="en-GB"/>
        </w:rPr>
        <w:t>Latar Belakang</w:t>
      </w:r>
    </w:p>
    <w:p>
      <w:pPr>
        <w:pStyle w:val="style0"/>
        <w:autoSpaceDE w:val="false"/>
        <w:autoSpaceDN w:val="false"/>
        <w:adjustRightInd w:val="false"/>
        <w:jc w:val="both"/>
        <w:rPr>
          <w:rFonts w:ascii="Arial" w:cs="Arial" w:hAnsi="Arial"/>
          <w:color w:val="000000"/>
          <w:sz w:val="24"/>
          <w:szCs w:val="24"/>
        </w:rPr>
      </w:pP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Mahkamah Agung merupakan</w:t>
      </w:r>
      <w:r>
        <w:rPr>
          <w:rFonts w:ascii="Arial" w:cs="Arial" w:hAnsi="Arial"/>
          <w:color w:val="000000"/>
          <w:sz w:val="24"/>
          <w:szCs w:val="24"/>
        </w:rPr>
        <w:t xml:space="preserve"> </w:t>
      </w:r>
      <w:r>
        <w:rPr>
          <w:rFonts w:ascii="Arial" w:cs="Arial" w:hAnsi="Arial"/>
          <w:color w:val="000000"/>
          <w:sz w:val="24"/>
          <w:szCs w:val="24"/>
          <w:lang w:val="id-ID"/>
        </w:rPr>
        <w:t xml:space="preserve"> pelaksana kekuasaan kehakiman di Indonesia sebagaimana dimaksud dalam UUD 1945 Pasal 24 ayat (2) dan Pasal 24A ayat (1) dan Undang-Undang Nomor 48 Tahun 2009 tentang Kekuasaan Kehakiman serta Undang-Undang Nomor 14 Tahun 1985 tentang Mahkamah Agung sebagaimana telah diubah dengan Undang-Undang Nomor 5 Tahun 2004 tentang Perubahan atas Undang-Undang Nomor 14 Tahun 1985 tentang Mahkamah Agung dan Undang-Undang Nomor 3 Tahun 2009 tentang Perubahan Kedua atas UU Nomor 14 Tahun 1985 tentang Mahkamah Agung (UU MA).</w:t>
      </w:r>
    </w:p>
    <w:p>
      <w:pPr>
        <w:pStyle w:val="style0"/>
        <w:autoSpaceDE w:val="false"/>
        <w:autoSpaceDN w:val="false"/>
        <w:adjustRightInd w:val="false"/>
        <w:ind w:left="284"/>
        <w:jc w:val="both"/>
        <w:rPr>
          <w:rFonts w:ascii="Arial" w:cs="Arial" w:hAnsi="Arial"/>
          <w:color w:val="000000"/>
          <w:sz w:val="24"/>
          <w:szCs w:val="24"/>
        </w:rPr>
      </w:pPr>
      <w:r>
        <w:rPr>
          <w:rFonts w:ascii="Arial" w:cs="Arial" w:hAnsi="Arial"/>
          <w:color w:val="000000"/>
          <w:sz w:val="24"/>
          <w:szCs w:val="24"/>
          <w:lang w:val="id-ID"/>
        </w:rPr>
        <w:t>Pasal 24A</w:t>
      </w:r>
      <w:r>
        <w:rPr>
          <w:rFonts w:ascii="Arial" w:cs="Arial" w:hAnsi="Arial"/>
          <w:color w:val="000000"/>
          <w:sz w:val="24"/>
          <w:szCs w:val="24"/>
        </w:rPr>
        <w:t xml:space="preserve"> </w:t>
      </w:r>
      <w:r>
        <w:rPr>
          <w:rFonts w:ascii="Arial" w:cs="Arial" w:hAnsi="Arial"/>
          <w:color w:val="000000"/>
          <w:sz w:val="24"/>
          <w:szCs w:val="24"/>
          <w:lang w:val="id-ID"/>
        </w:rPr>
        <w:t>(1) Mahkamah Agung berwenang mengadili pada tingkat kasasi, menguji peraturan perundang-undangan di bawah undang-undang terhadap undang-undang, dan mempunyai wewenang lainnya yang diberikan oleh undang-undang</w:t>
      </w:r>
      <w:r>
        <w:rPr>
          <w:rFonts w:ascii="Arial" w:cs="Arial" w:hAnsi="Arial"/>
          <w:color w:val="000000"/>
          <w:sz w:val="24"/>
          <w:szCs w:val="24"/>
        </w:rPr>
        <w:t>.</w:t>
      </w:r>
      <w:r>
        <w:rPr>
          <w:rFonts w:ascii="Arial" w:cs="Arial" w:hAnsi="Arial"/>
          <w:color w:val="000000"/>
          <w:sz w:val="24"/>
          <w:szCs w:val="24"/>
          <w:vertAlign w:val="superscript"/>
          <w:lang w:val="sv-SE"/>
        </w:rPr>
        <w:footnoteReference w:id="1"/>
      </w:r>
    </w:p>
    <w:p>
      <w:pPr>
        <w:pStyle w:val="style0"/>
        <w:autoSpaceDE w:val="false"/>
        <w:autoSpaceDN w:val="false"/>
        <w:adjustRightInd w:val="false"/>
        <w:ind w:left="284"/>
        <w:jc w:val="both"/>
        <w:rPr>
          <w:rFonts w:ascii="Arial" w:cs="Arial" w:hAnsi="Arial"/>
          <w:sz w:val="24"/>
          <w:szCs w:val="24"/>
        </w:rPr>
      </w:pPr>
      <w:r>
        <w:rPr>
          <w:rFonts w:ascii="Arial" w:cs="Arial" w:hAnsi="Arial"/>
          <w:sz w:val="24"/>
          <w:szCs w:val="24"/>
        </w:rPr>
        <w:t xml:space="preserve">Pasal 20 (1) Mahkamah Agung merupakan pengadilan negara tertinggi dari badan peradilan yang berada di dalam keempat lingkungan peradilan sebagaimana dimaksud dalam Pasal 18. (2) Mahkamah Agung berwenang: </w:t>
      </w:r>
      <w:r>
        <w:rPr>
          <w:rFonts w:ascii="Arial" w:cs="Arial" w:hAnsi="Arial"/>
          <w:sz w:val="24"/>
          <w:szCs w:val="24"/>
          <w:lang w:val="id-ID"/>
        </w:rPr>
        <w:t xml:space="preserve">      </w:t>
      </w:r>
      <w:r>
        <w:rPr>
          <w:rFonts w:ascii="Arial" w:cs="Arial" w:hAnsi="Arial"/>
          <w:sz w:val="24"/>
          <w:szCs w:val="24"/>
        </w:rPr>
        <w:t>a. mengadili pada tingkat kasasi terhadap putusan yang diberikan pada tingkat terakhir oleh pengadilan di semua lingkungan peradilan yang berada di bawah Mahkamah Agung, kecuali undang-undang menentukan lain; b. menguji peraturan perundang-undangan di bawah undang-undang terhadap undang-undang; dan c. kewenangan lainnya yang diberikan undang-undang.</w:t>
      </w:r>
      <w:r>
        <w:rPr>
          <w:rFonts w:ascii="Arial" w:cs="Arial" w:hAnsi="Arial"/>
          <w:color w:val="000000"/>
          <w:sz w:val="24"/>
          <w:szCs w:val="24"/>
          <w:vertAlign w:val="superscript"/>
          <w:lang w:val="sv-SE"/>
        </w:rPr>
        <w:footnoteReference w:id="2"/>
      </w:r>
    </w:p>
    <w:p>
      <w:pPr>
        <w:pStyle w:val="style0"/>
        <w:autoSpaceDE w:val="false"/>
        <w:autoSpaceDN w:val="false"/>
        <w:adjustRightInd w:val="false"/>
        <w:ind w:firstLine="567"/>
        <w:jc w:val="both"/>
        <w:rPr>
          <w:rFonts w:ascii="Arial" w:cs="Arial" w:hAnsi="Arial"/>
          <w:color w:val="000000"/>
          <w:sz w:val="24"/>
          <w:szCs w:val="24"/>
        </w:rPr>
      </w:pPr>
      <w:r>
        <w:rPr>
          <w:rFonts w:ascii="Arial" w:cs="Arial" w:hAnsi="Arial"/>
          <w:color w:val="000000"/>
          <w:sz w:val="24"/>
          <w:szCs w:val="24"/>
          <w:lang w:val="id-ID"/>
        </w:rPr>
        <w:t>Terdapat pengecualian dalam pengajuan permohonan kasasi, ada perkara-perkara tertentu yang tidak dapat diajukan permohonan kasasi, perkara tersebut adalah:</w:t>
      </w:r>
      <w:r>
        <w:rPr>
          <w:rFonts w:ascii="Arial" w:cs="Arial" w:hAnsi="Arial"/>
          <w:color w:val="000000"/>
          <w:sz w:val="24"/>
          <w:szCs w:val="24"/>
        </w:rPr>
        <w:t xml:space="preserve"> </w:t>
      </w:r>
      <w:r>
        <w:rPr>
          <w:rFonts w:ascii="Arial" w:cs="Arial" w:hAnsi="Arial"/>
          <w:color w:val="000000"/>
          <w:sz w:val="24"/>
          <w:szCs w:val="24"/>
          <w:lang w:val="id-ID"/>
        </w:rPr>
        <w:t xml:space="preserve">putusan praperadilan; perkara pidana yang diancam dengan </w:t>
      </w:r>
      <w:r>
        <w:rPr>
          <w:rFonts w:ascii="Arial" w:cs="Arial" w:hAnsi="Arial"/>
          <w:color w:val="000000"/>
          <w:sz w:val="24"/>
          <w:szCs w:val="24"/>
          <w:lang w:val="id-ID"/>
        </w:rPr>
        <w:t>pidana penjara paling lama 1 (satu) tahun dan/atau diancam pidana denda</w:t>
      </w:r>
      <w:r>
        <w:rPr>
          <w:rFonts w:ascii="Arial" w:cs="Arial" w:hAnsi="Arial"/>
          <w:color w:val="000000"/>
          <w:sz w:val="24"/>
          <w:szCs w:val="24"/>
        </w:rPr>
        <w:t xml:space="preserve"> </w:t>
      </w:r>
      <w:r>
        <w:rPr>
          <w:rFonts w:ascii="Arial" w:cs="Arial" w:hAnsi="Arial"/>
          <w:color w:val="000000"/>
          <w:sz w:val="24"/>
          <w:szCs w:val="24"/>
          <w:lang w:val="id-ID"/>
        </w:rPr>
        <w:t>perkara tata usaha negara yang objek gugatannya berupa keputusan pejabat daerah yang jangkauan keputusannya berlaku di wilayah daerah yang bersangkutan.</w:t>
      </w:r>
      <w:r>
        <w:rPr>
          <w:rFonts w:ascii="Arial" w:cs="Arial" w:hAnsi="Arial"/>
          <w:color w:val="000000"/>
          <w:sz w:val="24"/>
          <w:szCs w:val="24"/>
        </w:rPr>
        <w:t xml:space="preserve">  </w:t>
      </w:r>
      <w:r>
        <w:rPr>
          <w:rFonts w:ascii="Arial" w:cs="Arial" w:hAnsi="Arial"/>
          <w:color w:val="000000"/>
          <w:sz w:val="24"/>
          <w:szCs w:val="24"/>
          <w:lang w:val="id-ID"/>
        </w:rPr>
        <w:t>Mahkamah Agung berwenang juga:</w:t>
      </w:r>
      <w:r>
        <w:rPr>
          <w:rFonts w:ascii="Arial" w:cs="Arial" w:hAnsi="Arial"/>
          <w:color w:val="000000"/>
          <w:sz w:val="24"/>
          <w:szCs w:val="24"/>
        </w:rPr>
        <w:t xml:space="preserve"> </w:t>
      </w:r>
      <w:r>
        <w:rPr>
          <w:rFonts w:ascii="Arial" w:cs="Arial" w:hAnsi="Arial"/>
          <w:color w:val="000000"/>
          <w:sz w:val="24"/>
          <w:szCs w:val="24"/>
          <w:lang w:val="id-ID"/>
        </w:rPr>
        <w:t>melakukan pengawasan tertinggi terhadap penyelenggaraan peradilan di semua lingkungan peradilan yang berada di bawahnya dalam menjalankan kekuasaan kehakiman;</w:t>
      </w:r>
      <w:r>
        <w:rPr>
          <w:rFonts w:ascii="Arial" w:cs="Arial" w:hAnsi="Arial"/>
          <w:color w:val="000000"/>
          <w:sz w:val="24"/>
          <w:szCs w:val="24"/>
        </w:rPr>
        <w:t xml:space="preserve">  </w:t>
      </w:r>
      <w:r>
        <w:rPr>
          <w:rFonts w:ascii="Arial" w:cs="Arial" w:hAnsi="Arial"/>
          <w:color w:val="000000"/>
          <w:sz w:val="24"/>
          <w:szCs w:val="24"/>
          <w:lang w:val="id-ID"/>
        </w:rPr>
        <w:t>melakukan pengawasan organisasi, administrasi badan peradilan yang ada di bawahnya;</w:t>
      </w:r>
      <w:r>
        <w:rPr>
          <w:rFonts w:ascii="Arial" w:cs="Arial" w:hAnsi="Arial"/>
          <w:color w:val="000000"/>
          <w:sz w:val="24"/>
          <w:szCs w:val="24"/>
        </w:rPr>
        <w:t xml:space="preserve">  </w:t>
      </w:r>
      <w:r>
        <w:rPr>
          <w:rFonts w:ascii="Arial" w:cs="Arial" w:hAnsi="Arial"/>
          <w:color w:val="000000"/>
          <w:sz w:val="24"/>
          <w:szCs w:val="24"/>
          <w:lang w:val="id-ID"/>
        </w:rPr>
        <w:t>meminta keterangan tentang hal-hal yang berkaitan dengan teknis peradilan dari semua badan yang berada di bawahnya;</w:t>
      </w:r>
      <w:r>
        <w:rPr>
          <w:rFonts w:ascii="Arial" w:cs="Arial" w:hAnsi="Arial"/>
          <w:color w:val="000000"/>
          <w:sz w:val="24"/>
          <w:szCs w:val="24"/>
        </w:rPr>
        <w:t xml:space="preserve">  </w:t>
      </w:r>
      <w:r>
        <w:rPr>
          <w:rFonts w:ascii="Arial" w:cs="Arial" w:hAnsi="Arial"/>
          <w:color w:val="000000"/>
          <w:sz w:val="24"/>
          <w:szCs w:val="24"/>
          <w:lang w:val="id-ID"/>
        </w:rPr>
        <w:t>memberi petunjuk, teguran, atau peringatan kepada pengadilan di semua badan yang berada di bawahnya;</w:t>
      </w:r>
      <w:r>
        <w:rPr>
          <w:rFonts w:ascii="Arial" w:cs="Arial" w:hAnsi="Arial"/>
          <w:color w:val="000000"/>
          <w:sz w:val="24"/>
          <w:szCs w:val="24"/>
        </w:rPr>
        <w:t xml:space="preserve">  </w:t>
      </w:r>
      <w:r>
        <w:rPr>
          <w:rFonts w:ascii="Arial" w:cs="Arial" w:hAnsi="Arial"/>
          <w:color w:val="000000"/>
          <w:sz w:val="24"/>
          <w:szCs w:val="24"/>
          <w:lang w:val="id-ID"/>
        </w:rPr>
        <w:t xml:space="preserve"> memberikan pertimbangan hukum kepada presiden dalam permohonan grasi dan rehabilitasi;</w:t>
      </w:r>
      <w:r>
        <w:rPr>
          <w:rFonts w:ascii="Arial" w:cs="Arial" w:hAnsi="Arial"/>
          <w:color w:val="000000"/>
          <w:sz w:val="24"/>
          <w:szCs w:val="24"/>
        </w:rPr>
        <w:t xml:space="preserve">  </w:t>
      </w:r>
      <w:r>
        <w:rPr>
          <w:rFonts w:ascii="Arial" w:cs="Arial" w:hAnsi="Arial"/>
          <w:color w:val="000000"/>
          <w:sz w:val="24"/>
          <w:szCs w:val="24"/>
          <w:lang w:val="id-ID"/>
        </w:rPr>
        <w:t>dapat memberi keterangan, pertimbangan, dan nasihat masalah hukum kepada lembaga negara dan lembaga pemerintahan.</w:t>
      </w:r>
    </w:p>
    <w:p>
      <w:pPr>
        <w:pStyle w:val="style0"/>
        <w:autoSpaceDE w:val="false"/>
        <w:autoSpaceDN w:val="false"/>
        <w:adjustRightInd w:val="false"/>
        <w:ind w:firstLine="567"/>
        <w:jc w:val="both"/>
        <w:rPr>
          <w:rFonts w:ascii="Arial" w:cs="Arial" w:hAnsi="Arial"/>
          <w:color w:val="000000"/>
          <w:sz w:val="24"/>
          <w:szCs w:val="24"/>
        </w:rPr>
      </w:pPr>
      <w:r>
        <w:rPr>
          <w:rFonts w:ascii="Arial" w:cs="Arial" w:hAnsi="Arial"/>
          <w:color w:val="000000"/>
          <w:sz w:val="24"/>
          <w:szCs w:val="24"/>
        </w:rPr>
        <w:t>Berdasarkan Undang-Undang Kekuasaan Kehakiman Nomor 48 Tahun 2009, d</w:t>
      </w:r>
      <w:r>
        <w:rPr>
          <w:rFonts w:ascii="Arial" w:cs="Arial" w:hAnsi="Arial"/>
          <w:color w:val="000000"/>
          <w:sz w:val="24"/>
          <w:szCs w:val="24"/>
          <w:lang w:val="id-ID"/>
        </w:rPr>
        <w:t xml:space="preserve">alam melaksanakan kekuasaan kehakiman, Mahkamah Agung merupakan pengadilan tertinggi dari semua lingkungan pengadilan. Segala urusan organisasi, administrasi, dan finansial Mahkamah Agung dan badan peradilan yang berada di bawahnya berada di bawah kekuasaan Mahkamah Agung.  Kewenangan dan kemandirian finansial tersebut sudah seharusnya memperoleh perhatian dengan prioritas utama, mengingat MA berperan sebagai lembaga yudikatif yang maju dan modern senantiasa diharapkan oleh warga negara dan masyarakat umumnya, karena secara langsung atau tidak akan berpengaruh besar pada pertumbuhan ekonomi dan peradaban masyarakat ditengah-tengah kehidupan globalisasi seperti saat ini. </w:t>
      </w:r>
    </w:p>
    <w:p>
      <w:pPr>
        <w:pStyle w:val="style0"/>
        <w:autoSpaceDE w:val="false"/>
        <w:autoSpaceDN w:val="false"/>
        <w:adjustRightInd w:val="false"/>
        <w:ind w:firstLine="567"/>
        <w:jc w:val="both"/>
        <w:rPr>
          <w:rFonts w:ascii="Arial" w:cs="Arial" w:hAnsi="Arial"/>
          <w:color w:val="000000"/>
          <w:sz w:val="24"/>
          <w:szCs w:val="24"/>
        </w:rPr>
      </w:pPr>
      <w:r>
        <w:rPr>
          <w:rFonts w:ascii="Arial" w:cs="Arial" w:hAnsi="Arial"/>
          <w:color w:val="000000"/>
          <w:sz w:val="24"/>
          <w:szCs w:val="24"/>
        </w:rPr>
        <w:t>Undang-Undang Kekuasaan Kehakiman mengamanahkan juga, bahwa peradilan dilaksanakan dengan sederhana, cepat dan biaya ringan sehingga merupakan asas mendasar dalam pelaksanaan dan pelayanan administrasi peradilan yang mengarah pada prinsip kerja yang efektif dan efisien. Maka program pembaruan pe</w:t>
      </w:r>
      <w:r>
        <w:rPr>
          <w:rFonts w:ascii="Arial" w:cs="Arial" w:hAnsi="Arial"/>
          <w:color w:val="000000"/>
          <w:sz w:val="24"/>
          <w:szCs w:val="24"/>
          <w:lang w:val="id-ID"/>
        </w:rPr>
        <w:t>ng</w:t>
      </w:r>
      <w:r>
        <w:rPr>
          <w:rFonts w:ascii="Arial" w:cs="Arial" w:hAnsi="Arial"/>
          <w:color w:val="000000"/>
          <w:sz w:val="24"/>
          <w:szCs w:val="24"/>
        </w:rPr>
        <w:t xml:space="preserve">adilan pada sektor </w:t>
      </w:r>
      <w:r>
        <w:rPr>
          <w:rFonts w:ascii="Arial" w:cs="Arial" w:hAnsi="Arial"/>
          <w:color w:val="000000"/>
          <w:sz w:val="24"/>
          <w:szCs w:val="24"/>
        </w:rPr>
        <w:t>manajemen dan administrasi harus mendukung percepatan penyelesaian perkara dan pengurangan tunggakan perkara guna mencapai asas sederhana, cepat dan biaya ringan.</w:t>
      </w:r>
    </w:p>
    <w:p>
      <w:pPr>
        <w:pStyle w:val="style0"/>
        <w:ind w:firstLine="720"/>
        <w:jc w:val="both"/>
        <w:rPr>
          <w:rFonts w:ascii="Arial" w:cs="Arial" w:hAnsi="Arial"/>
          <w:color w:val="000000"/>
          <w:sz w:val="24"/>
          <w:szCs w:val="24"/>
          <w:lang w:eastAsia="id-ID"/>
        </w:rPr>
      </w:pPr>
      <w:r>
        <w:rPr>
          <w:rFonts w:ascii="Arial" w:cs="Arial" w:hAnsi="Arial"/>
          <w:color w:val="000000"/>
          <w:sz w:val="24"/>
          <w:szCs w:val="24"/>
        </w:rPr>
        <w:t>Peran sebagai Pengadilan tertinggi dari semua pengadilan yang ada tersebut, maka pimpinan Mahkamah Agung membuat suatu kebijakan mengenai</w:t>
      </w:r>
      <w:r>
        <w:rPr>
          <w:rFonts w:ascii="Arial" w:cs="Arial" w:hAnsi="Arial"/>
          <w:color w:val="000000"/>
          <w:sz w:val="24"/>
          <w:szCs w:val="24"/>
          <w:lang w:val="id-ID" w:eastAsia="id-ID"/>
        </w:rPr>
        <w:t xml:space="preserve"> </w:t>
      </w:r>
      <w:r>
        <w:rPr>
          <w:rFonts w:ascii="Arial" w:cs="Arial" w:hAnsi="Arial"/>
          <w:color w:val="000000"/>
          <w:sz w:val="24"/>
          <w:szCs w:val="24"/>
          <w:lang w:eastAsia="id-ID"/>
        </w:rPr>
        <w:t>p</w:t>
      </w:r>
      <w:r>
        <w:rPr>
          <w:rFonts w:ascii="Arial" w:cs="Arial" w:hAnsi="Arial"/>
          <w:color w:val="000000"/>
          <w:sz w:val="24"/>
          <w:szCs w:val="24"/>
          <w:lang w:val="id-ID" w:eastAsia="id-ID"/>
        </w:rPr>
        <w:t>enerapan sistem kamar di Mahkamah Agung yang dilaksanakan sejak 19 September 2011, berdasarkan Surat Keputusan Ketua Mahkamah Agung Nomor 142/KMA/SK/IX/2011, tentang Pedoman Penerapan Sistem Kamar di Mahkamah Agung, yang sudah harus berjalan penuh dan efektif pada April 2014.</w:t>
      </w:r>
      <w:r>
        <w:rPr>
          <w:rFonts w:ascii="Arial" w:cs="Arial" w:hAnsi="Arial"/>
          <w:color w:val="000000"/>
          <w:sz w:val="24"/>
          <w:szCs w:val="24"/>
          <w:lang w:eastAsia="id-ID"/>
        </w:rPr>
        <w:t xml:space="preserve">  Penerapan pembagian substansi hukum tersebut telah beberapa kali dilakukan perubahan dengan banyak pertimbangan, sehubungan dengan banyak permasalahan yang harus diselesaikan menyangkut pemberlakuan kebijakan tersebut.</w:t>
      </w:r>
    </w:p>
    <w:p>
      <w:pPr>
        <w:pStyle w:val="style0"/>
        <w:ind w:firstLine="720"/>
        <w:jc w:val="both"/>
        <w:rPr>
          <w:rFonts w:ascii="Arial" w:cs="Arial" w:hAnsi="Arial"/>
          <w:color w:val="000000"/>
          <w:sz w:val="24"/>
          <w:szCs w:val="24"/>
          <w:lang w:eastAsia="id-ID"/>
        </w:rPr>
      </w:pPr>
      <w:r>
        <w:rPr>
          <w:rFonts w:ascii="Arial" w:cs="Arial" w:hAnsi="Arial"/>
          <w:color w:val="000000"/>
          <w:sz w:val="24"/>
          <w:szCs w:val="24"/>
          <w:lang w:eastAsia="id-ID"/>
        </w:rPr>
        <w:t>Kebijakan p</w:t>
      </w:r>
      <w:r>
        <w:rPr>
          <w:rFonts w:ascii="Arial" w:cs="Arial" w:hAnsi="Arial"/>
          <w:color w:val="000000"/>
          <w:sz w:val="24"/>
          <w:szCs w:val="24"/>
          <w:lang w:val="id-ID" w:eastAsia="id-ID"/>
        </w:rPr>
        <w:t>enerapan sistem kamar di Mahkamah Agung bertujuan un</w:t>
      </w:r>
      <w:r>
        <w:rPr>
          <w:rFonts w:ascii="Arial" w:cs="Arial" w:hAnsi="Arial"/>
          <w:color w:val="000000"/>
          <w:sz w:val="24"/>
          <w:szCs w:val="24"/>
          <w:lang w:eastAsia="id-ID"/>
        </w:rPr>
        <w:t xml:space="preserve">tuk; </w:t>
      </w:r>
      <w:r>
        <w:rPr>
          <w:rFonts w:ascii="Arial" w:cs="Arial" w:hAnsi="Arial"/>
          <w:color w:val="000000"/>
          <w:sz w:val="24"/>
          <w:szCs w:val="24"/>
          <w:lang w:val="id-ID" w:eastAsia="id-ID"/>
        </w:rPr>
        <w:t>menjaga kesatuan penerapan hukum dan konsistensi putusan M</w:t>
      </w:r>
      <w:r>
        <w:rPr>
          <w:rFonts w:ascii="Arial" w:cs="Arial" w:hAnsi="Arial"/>
          <w:color w:val="000000"/>
          <w:sz w:val="24"/>
          <w:szCs w:val="24"/>
          <w:lang w:eastAsia="id-ID"/>
        </w:rPr>
        <w:t xml:space="preserve">A;  </w:t>
      </w:r>
      <w:r>
        <w:rPr>
          <w:rFonts w:ascii="Arial" w:cs="Arial" w:hAnsi="Arial"/>
          <w:color w:val="000000"/>
          <w:sz w:val="24"/>
          <w:szCs w:val="24"/>
          <w:lang w:val="id-ID" w:eastAsia="id-ID"/>
        </w:rPr>
        <w:t>meningkatkan profesionalitas Hakim Agung;</w:t>
      </w:r>
      <w:r>
        <w:rPr>
          <w:rFonts w:ascii="Arial" w:cs="Arial" w:hAnsi="Arial"/>
          <w:color w:val="000000"/>
          <w:sz w:val="24"/>
          <w:szCs w:val="24"/>
          <w:lang w:eastAsia="id-ID"/>
        </w:rPr>
        <w:t xml:space="preserve"> </w:t>
      </w:r>
      <w:r>
        <w:rPr>
          <w:rFonts w:ascii="Arial" w:cs="Arial" w:hAnsi="Arial"/>
          <w:color w:val="000000"/>
          <w:sz w:val="24"/>
          <w:szCs w:val="24"/>
          <w:lang w:val="id-ID" w:eastAsia="id-ID"/>
        </w:rPr>
        <w:t>mempercepat proses penyelesaian perkara.</w:t>
      </w:r>
    </w:p>
    <w:p>
      <w:pPr>
        <w:pStyle w:val="style0"/>
        <w:jc w:val="center"/>
        <w:rPr>
          <w:rFonts w:ascii="Arial" w:cs="Arial" w:hAnsi="Arial"/>
          <w:color w:val="000000"/>
          <w:sz w:val="24"/>
          <w:szCs w:val="24"/>
          <w:lang w:eastAsia="id-ID"/>
        </w:rPr>
      </w:pPr>
      <w:r>
        <w:rPr>
          <w:rFonts w:ascii="Arial" w:cs="Arial" w:hAnsi="Arial"/>
          <w:color w:val="000000"/>
          <w:sz w:val="24"/>
          <w:szCs w:val="24"/>
          <w:lang w:eastAsia="id-ID"/>
        </w:rPr>
        <w:t>Tab</w:t>
      </w:r>
      <w:r>
        <w:rPr>
          <w:rFonts w:ascii="Arial" w:cs="Arial" w:hAnsi="Arial"/>
          <w:color w:val="000000"/>
          <w:sz w:val="24"/>
          <w:szCs w:val="24"/>
          <w:lang w:val="id-ID" w:eastAsia="id-ID"/>
        </w:rPr>
        <w:t>e</w:t>
      </w:r>
      <w:r>
        <w:rPr>
          <w:rFonts w:ascii="Arial" w:cs="Arial" w:hAnsi="Arial"/>
          <w:color w:val="000000"/>
          <w:sz w:val="24"/>
          <w:szCs w:val="24"/>
          <w:lang w:eastAsia="id-ID"/>
        </w:rPr>
        <w:t xml:space="preserve">l 1. </w:t>
      </w:r>
      <w:r>
        <w:rPr>
          <w:rFonts w:ascii="Arial" w:cs="Arial" w:hAnsi="Arial"/>
          <w:color w:val="000000"/>
          <w:sz w:val="24"/>
          <w:szCs w:val="24"/>
          <w:lang w:val="id-ID" w:eastAsia="id-ID"/>
        </w:rPr>
        <w:t>D</w:t>
      </w:r>
      <w:r>
        <w:rPr>
          <w:rFonts w:ascii="Arial" w:cs="Arial" w:hAnsi="Arial"/>
          <w:color w:val="000000"/>
          <w:sz w:val="24"/>
          <w:szCs w:val="24"/>
          <w:lang w:eastAsia="id-ID"/>
        </w:rPr>
        <w:t xml:space="preserve">aftar </w:t>
      </w:r>
      <w:r>
        <w:rPr>
          <w:rFonts w:ascii="Arial" w:cs="Arial" w:hAnsi="Arial"/>
          <w:color w:val="000000"/>
          <w:sz w:val="24"/>
          <w:szCs w:val="24"/>
          <w:lang w:val="id-ID" w:eastAsia="id-ID"/>
        </w:rPr>
        <w:t>P</w:t>
      </w:r>
      <w:r>
        <w:rPr>
          <w:rFonts w:ascii="Arial" w:cs="Arial" w:hAnsi="Arial"/>
          <w:color w:val="000000"/>
          <w:sz w:val="24"/>
          <w:szCs w:val="24"/>
          <w:lang w:eastAsia="id-ID"/>
        </w:rPr>
        <w:t xml:space="preserve">erkara </w:t>
      </w:r>
      <w:r>
        <w:rPr>
          <w:rFonts w:ascii="Arial" w:cs="Arial" w:hAnsi="Arial"/>
          <w:color w:val="000000"/>
          <w:sz w:val="24"/>
          <w:szCs w:val="24"/>
          <w:lang w:val="id-ID" w:eastAsia="id-ID"/>
        </w:rPr>
        <w:t>k</w:t>
      </w:r>
      <w:r>
        <w:rPr>
          <w:rFonts w:ascii="Arial" w:cs="Arial" w:hAnsi="Arial"/>
          <w:color w:val="000000"/>
          <w:sz w:val="24"/>
          <w:szCs w:val="24"/>
          <w:lang w:eastAsia="id-ID"/>
        </w:rPr>
        <w:t>asasi, peninjauan kembali, grasi</w:t>
      </w:r>
      <w:r>
        <w:rPr>
          <w:rFonts w:ascii="Arial" w:cs="Arial" w:hAnsi="Arial"/>
          <w:color w:val="000000"/>
          <w:sz w:val="24"/>
          <w:szCs w:val="24"/>
          <w:lang w:val="id-ID" w:eastAsia="id-ID"/>
        </w:rPr>
        <w:t>,</w:t>
      </w:r>
      <w:r>
        <w:rPr>
          <w:rFonts w:ascii="Arial" w:cs="Arial" w:hAnsi="Arial"/>
          <w:color w:val="000000"/>
          <w:sz w:val="24"/>
          <w:szCs w:val="24"/>
          <w:lang w:eastAsia="id-ID"/>
        </w:rPr>
        <w:t xml:space="preserve"> hak uji materil di </w:t>
      </w:r>
      <w:r>
        <w:rPr>
          <w:rFonts w:ascii="Arial" w:cs="Arial" w:hAnsi="Arial"/>
          <w:color w:val="000000"/>
          <w:sz w:val="24"/>
          <w:szCs w:val="24"/>
          <w:lang w:val="id-ID" w:eastAsia="id-ID"/>
        </w:rPr>
        <w:t>MA</w:t>
      </w:r>
      <w:r>
        <w:rPr>
          <w:rFonts w:ascii="Arial" w:cs="Arial" w:hAnsi="Arial"/>
          <w:color w:val="000000"/>
          <w:sz w:val="24"/>
          <w:szCs w:val="24"/>
          <w:lang w:eastAsia="id-ID"/>
        </w:rPr>
        <w:t xml:space="preserve"> </w:t>
      </w:r>
      <w:r>
        <w:rPr>
          <w:rFonts w:ascii="Arial" w:cs="Arial" w:hAnsi="Arial"/>
          <w:color w:val="000000"/>
          <w:sz w:val="24"/>
          <w:szCs w:val="24"/>
          <w:vertAlign w:val="superscript"/>
          <w:lang w:val="sv-SE"/>
        </w:rPr>
        <w:footnoteReference w:id="3"/>
      </w:r>
    </w:p>
    <w:tbl>
      <w:tblPr>
        <w:tblW w:w="4784" w:type="dxa"/>
        <w:jc w:val="center"/>
        <w:tblBorders>
          <w:top w:val="single" w:sz="8" w:space="0" w:color="4bacc6"/>
          <w:bottom w:val="single" w:sz="8" w:space="0" w:color="4bacc6"/>
        </w:tblBorders>
        <w:tblLayout w:type="fixed"/>
        <w:tblLook w:val="04A0" w:firstRow="1" w:lastRow="0" w:firstColumn="1" w:lastColumn="0" w:noHBand="0" w:noVBand="1"/>
      </w:tblPr>
      <w:tblGrid>
        <w:gridCol w:w="734"/>
        <w:gridCol w:w="993"/>
        <w:gridCol w:w="708"/>
        <w:gridCol w:w="709"/>
        <w:gridCol w:w="709"/>
        <w:gridCol w:w="931"/>
      </w:tblGrid>
      <w:tr>
        <w:trPr>
          <w:jc w:val="center"/>
        </w:trPr>
        <w:tc>
          <w:tcPr>
            <w:tcW w:w="734" w:type="dxa"/>
            <w:tcBorders>
              <w:top w:val="single" w:sz="8" w:space="0" w:color="4bacc6"/>
              <w:left w:val="nil"/>
              <w:bottom w:val="single" w:sz="8" w:space="0" w:color="4bacc6"/>
              <w:right w:val="nil"/>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Tahun</w:t>
            </w:r>
          </w:p>
        </w:tc>
        <w:tc>
          <w:tcPr>
            <w:tcW w:w="993" w:type="dxa"/>
            <w:tcBorders>
              <w:top w:val="single" w:sz="8" w:space="0" w:color="4bacc6"/>
              <w:left w:val="nil"/>
              <w:bottom w:val="single" w:sz="8" w:space="0" w:color="4bacc6"/>
              <w:right w:val="nil"/>
            </w:tcBorders>
            <w:shd w:val="clear" w:color="auto" w:fill="auto"/>
            <w:hideMark/>
          </w:tcPr>
          <w:p>
            <w:pPr>
              <w:pStyle w:val="style0"/>
              <w:ind w:left="-99" w:right="-85"/>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Sisa Tahun Sebelumnya</w:t>
            </w:r>
          </w:p>
        </w:tc>
        <w:tc>
          <w:tcPr>
            <w:tcW w:w="708" w:type="dxa"/>
            <w:tcBorders>
              <w:top w:val="single" w:sz="8" w:space="0" w:color="4bacc6"/>
              <w:left w:val="nil"/>
              <w:bottom w:val="single" w:sz="8" w:space="0" w:color="4bacc6"/>
              <w:right w:val="nil"/>
            </w:tcBorders>
            <w:shd w:val="clear" w:color="auto" w:fill="auto"/>
            <w:hideMark/>
          </w:tcPr>
          <w:p>
            <w:pPr>
              <w:pStyle w:val="style0"/>
              <w:ind w:left="-99" w:right="-134"/>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Perkara Masuk</w:t>
            </w:r>
          </w:p>
        </w:tc>
        <w:tc>
          <w:tcPr>
            <w:tcW w:w="709" w:type="dxa"/>
            <w:tcBorders>
              <w:top w:val="single" w:sz="8" w:space="0" w:color="4bacc6"/>
              <w:left w:val="nil"/>
              <w:bottom w:val="single" w:sz="8" w:space="0" w:color="4bacc6"/>
              <w:right w:val="nil"/>
            </w:tcBorders>
            <w:shd w:val="clear" w:color="auto" w:fill="auto"/>
            <w:hideMark/>
          </w:tcPr>
          <w:p>
            <w:pPr>
              <w:pStyle w:val="style0"/>
              <w:ind w:left="-99" w:right="-134"/>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Beban Perkara</w:t>
            </w:r>
          </w:p>
        </w:tc>
        <w:tc>
          <w:tcPr>
            <w:tcW w:w="709" w:type="dxa"/>
            <w:tcBorders>
              <w:top w:val="single" w:sz="8" w:space="0" w:color="4bacc6"/>
              <w:left w:val="nil"/>
              <w:bottom w:val="single" w:sz="8" w:space="0" w:color="4bacc6"/>
              <w:right w:val="nil"/>
            </w:tcBorders>
            <w:shd w:val="clear" w:color="auto" w:fill="auto"/>
            <w:hideMark/>
          </w:tcPr>
          <w:p>
            <w:pPr>
              <w:pStyle w:val="style0"/>
              <w:ind w:left="-82" w:right="-128"/>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Perkara Putus</w:t>
            </w:r>
          </w:p>
        </w:tc>
        <w:tc>
          <w:tcPr>
            <w:tcW w:w="931" w:type="dxa"/>
            <w:tcBorders>
              <w:top w:val="single" w:sz="8" w:space="0" w:color="4bacc6"/>
              <w:left w:val="nil"/>
              <w:bottom w:val="single" w:sz="8" w:space="0" w:color="4bacc6"/>
              <w:right w:val="nil"/>
            </w:tcBorders>
            <w:shd w:val="clear" w:color="auto" w:fill="auto"/>
            <w:hideMark/>
          </w:tcPr>
          <w:p>
            <w:pPr>
              <w:pStyle w:val="style0"/>
              <w:ind w:left="-82" w:right="-128"/>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Sisa Perkara</w:t>
            </w:r>
          </w:p>
        </w:tc>
      </w:tr>
      <w:tr>
        <w:tblPrEx/>
        <w:trPr>
          <w:jc w:val="center"/>
        </w:trPr>
        <w:tc>
          <w:tcPr>
            <w:tcW w:w="734" w:type="dxa"/>
            <w:tcBorders>
              <w:left w:val="nil"/>
              <w:right w:val="nil"/>
            </w:tcBorders>
            <w:shd w:val="clear" w:color="auto" w:fill="d2eaf1"/>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2004</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left w:val="nil"/>
              <w:right w:val="nil"/>
            </w:tcBorders>
            <w:shd w:val="clear" w:color="auto" w:fill="d2eaf1"/>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20.825</w:t>
            </w:r>
          </w:p>
        </w:tc>
        <w:tc>
          <w:tcPr>
            <w:tcW w:w="708"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5.730</w:t>
            </w:r>
          </w:p>
        </w:tc>
        <w:tc>
          <w:tcPr>
            <w:tcW w:w="709"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26.555</w:t>
            </w:r>
          </w:p>
        </w:tc>
        <w:tc>
          <w:tcPr>
            <w:tcW w:w="709"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6.241</w:t>
            </w:r>
          </w:p>
        </w:tc>
        <w:tc>
          <w:tcPr>
            <w:tcW w:w="931"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20.314</w:t>
            </w:r>
          </w:p>
        </w:tc>
      </w:tr>
      <w:tr>
        <w:tblPrEx/>
        <w:trPr>
          <w:jc w:val="center"/>
        </w:trPr>
        <w:tc>
          <w:tcPr>
            <w:tcW w:w="734" w:type="dxa"/>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2005</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shd w:val="clear" w:color="auto" w:fill="auto"/>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20.314</w:t>
            </w:r>
          </w:p>
        </w:tc>
        <w:tc>
          <w:tcPr>
            <w:tcW w:w="708"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7.468</w:t>
            </w:r>
          </w:p>
        </w:tc>
        <w:tc>
          <w:tcPr>
            <w:tcW w:w="709"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27.782</w:t>
            </w:r>
          </w:p>
        </w:tc>
        <w:tc>
          <w:tcPr>
            <w:tcW w:w="709"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11.807</w:t>
            </w:r>
          </w:p>
        </w:tc>
        <w:tc>
          <w:tcPr>
            <w:tcW w:w="931"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15.975</w:t>
            </w:r>
          </w:p>
        </w:tc>
      </w:tr>
      <w:tr>
        <w:tblPrEx/>
        <w:trPr>
          <w:jc w:val="center"/>
        </w:trPr>
        <w:tc>
          <w:tcPr>
            <w:tcW w:w="734" w:type="dxa"/>
            <w:tcBorders>
              <w:left w:val="nil"/>
              <w:right w:val="nil"/>
            </w:tcBorders>
            <w:shd w:val="clear" w:color="auto" w:fill="d2eaf1"/>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2006</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left w:val="nil"/>
              <w:right w:val="nil"/>
            </w:tcBorders>
            <w:shd w:val="clear" w:color="auto" w:fill="d2eaf1"/>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15.975</w:t>
            </w:r>
          </w:p>
        </w:tc>
        <w:tc>
          <w:tcPr>
            <w:tcW w:w="708"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7.825</w:t>
            </w:r>
          </w:p>
        </w:tc>
        <w:tc>
          <w:tcPr>
            <w:tcW w:w="709"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23.800</w:t>
            </w:r>
          </w:p>
        </w:tc>
        <w:tc>
          <w:tcPr>
            <w:tcW w:w="709"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11.775</w:t>
            </w:r>
          </w:p>
        </w:tc>
        <w:tc>
          <w:tcPr>
            <w:tcW w:w="931"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12.025</w:t>
            </w:r>
          </w:p>
        </w:tc>
      </w:tr>
      <w:tr>
        <w:tblPrEx/>
        <w:trPr>
          <w:jc w:val="center"/>
        </w:trPr>
        <w:tc>
          <w:tcPr>
            <w:tcW w:w="734" w:type="dxa"/>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2007</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shd w:val="clear" w:color="auto" w:fill="auto"/>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12.025</w:t>
            </w:r>
          </w:p>
        </w:tc>
        <w:tc>
          <w:tcPr>
            <w:tcW w:w="708"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9.516</w:t>
            </w:r>
          </w:p>
        </w:tc>
        <w:tc>
          <w:tcPr>
            <w:tcW w:w="709"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21.541</w:t>
            </w:r>
          </w:p>
        </w:tc>
        <w:tc>
          <w:tcPr>
            <w:tcW w:w="709"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10.714</w:t>
            </w:r>
          </w:p>
        </w:tc>
        <w:tc>
          <w:tcPr>
            <w:tcW w:w="931"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10.827</w:t>
            </w:r>
          </w:p>
        </w:tc>
      </w:tr>
      <w:tr>
        <w:tblPrEx/>
        <w:trPr>
          <w:jc w:val="center"/>
        </w:trPr>
        <w:tc>
          <w:tcPr>
            <w:tcW w:w="734" w:type="dxa"/>
            <w:tcBorders>
              <w:left w:val="nil"/>
              <w:right w:val="nil"/>
            </w:tcBorders>
            <w:shd w:val="clear" w:color="auto" w:fill="d2eaf1"/>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2008</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left w:val="nil"/>
              <w:right w:val="nil"/>
            </w:tcBorders>
            <w:shd w:val="clear" w:color="auto" w:fill="d2eaf1"/>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10.827</w:t>
            </w:r>
          </w:p>
        </w:tc>
        <w:tc>
          <w:tcPr>
            <w:tcW w:w="708"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11.338</w:t>
            </w:r>
          </w:p>
        </w:tc>
        <w:tc>
          <w:tcPr>
            <w:tcW w:w="709"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22.165</w:t>
            </w:r>
          </w:p>
        </w:tc>
        <w:tc>
          <w:tcPr>
            <w:tcW w:w="709"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13.885</w:t>
            </w:r>
          </w:p>
        </w:tc>
        <w:tc>
          <w:tcPr>
            <w:tcW w:w="931"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8.280</w:t>
            </w:r>
          </w:p>
        </w:tc>
      </w:tr>
      <w:tr>
        <w:tblPrEx/>
        <w:trPr>
          <w:jc w:val="center"/>
        </w:trPr>
        <w:tc>
          <w:tcPr>
            <w:tcW w:w="734" w:type="dxa"/>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2009</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shd w:val="clear" w:color="auto" w:fill="auto"/>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8.280</w:t>
            </w:r>
          </w:p>
        </w:tc>
        <w:tc>
          <w:tcPr>
            <w:tcW w:w="708"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12.540</w:t>
            </w:r>
          </w:p>
        </w:tc>
        <w:tc>
          <w:tcPr>
            <w:tcW w:w="709"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20.820</w:t>
            </w:r>
          </w:p>
        </w:tc>
        <w:tc>
          <w:tcPr>
            <w:tcW w:w="709"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11.985</w:t>
            </w:r>
          </w:p>
        </w:tc>
        <w:tc>
          <w:tcPr>
            <w:tcW w:w="931"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8.835</w:t>
            </w:r>
          </w:p>
        </w:tc>
      </w:tr>
      <w:tr>
        <w:tblPrEx/>
        <w:trPr>
          <w:jc w:val="center"/>
        </w:trPr>
        <w:tc>
          <w:tcPr>
            <w:tcW w:w="734" w:type="dxa"/>
            <w:tcBorders>
              <w:left w:val="nil"/>
              <w:right w:val="nil"/>
            </w:tcBorders>
            <w:shd w:val="clear" w:color="auto" w:fill="d2eaf1"/>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2010</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left w:val="nil"/>
              <w:right w:val="nil"/>
            </w:tcBorders>
            <w:shd w:val="clear" w:color="auto" w:fill="d2eaf1"/>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8.835</w:t>
            </w:r>
          </w:p>
        </w:tc>
        <w:tc>
          <w:tcPr>
            <w:tcW w:w="708"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13.480</w:t>
            </w:r>
          </w:p>
        </w:tc>
        <w:tc>
          <w:tcPr>
            <w:tcW w:w="709"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22.315</w:t>
            </w:r>
          </w:p>
        </w:tc>
        <w:tc>
          <w:tcPr>
            <w:tcW w:w="709"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13.891</w:t>
            </w:r>
          </w:p>
        </w:tc>
        <w:tc>
          <w:tcPr>
            <w:tcW w:w="931"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8.424</w:t>
            </w:r>
          </w:p>
        </w:tc>
      </w:tr>
      <w:tr>
        <w:tblPrEx/>
        <w:trPr>
          <w:jc w:val="center"/>
        </w:trPr>
        <w:tc>
          <w:tcPr>
            <w:tcW w:w="734" w:type="dxa"/>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2011</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shd w:val="clear" w:color="auto" w:fill="auto"/>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8.424</w:t>
            </w:r>
          </w:p>
        </w:tc>
        <w:tc>
          <w:tcPr>
            <w:tcW w:w="708"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12.990</w:t>
            </w:r>
          </w:p>
        </w:tc>
        <w:tc>
          <w:tcPr>
            <w:tcW w:w="709"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21.414</w:t>
            </w:r>
          </w:p>
        </w:tc>
        <w:tc>
          <w:tcPr>
            <w:tcW w:w="709"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13.719</w:t>
            </w:r>
          </w:p>
        </w:tc>
        <w:tc>
          <w:tcPr>
            <w:tcW w:w="931"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7.695</w:t>
            </w:r>
          </w:p>
        </w:tc>
      </w:tr>
      <w:tr>
        <w:tblPrEx/>
        <w:trPr>
          <w:jc w:val="center"/>
        </w:trPr>
        <w:tc>
          <w:tcPr>
            <w:tcW w:w="734" w:type="dxa"/>
            <w:tcBorders>
              <w:left w:val="nil"/>
              <w:right w:val="nil"/>
            </w:tcBorders>
            <w:shd w:val="clear" w:color="auto" w:fill="d2eaf1"/>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2012</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left w:val="nil"/>
              <w:right w:val="nil"/>
            </w:tcBorders>
            <w:shd w:val="clear" w:color="auto" w:fill="d2eaf1"/>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7.695</w:t>
            </w:r>
          </w:p>
        </w:tc>
        <w:tc>
          <w:tcPr>
            <w:tcW w:w="708"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13.412</w:t>
            </w:r>
          </w:p>
        </w:tc>
        <w:tc>
          <w:tcPr>
            <w:tcW w:w="709"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21.107</w:t>
            </w:r>
          </w:p>
        </w:tc>
        <w:tc>
          <w:tcPr>
            <w:tcW w:w="709"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10.995</w:t>
            </w:r>
          </w:p>
        </w:tc>
        <w:tc>
          <w:tcPr>
            <w:tcW w:w="931"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10.112</w:t>
            </w:r>
          </w:p>
        </w:tc>
      </w:tr>
      <w:tr>
        <w:tblPrEx/>
        <w:trPr>
          <w:jc w:val="center"/>
        </w:trPr>
        <w:tc>
          <w:tcPr>
            <w:tcW w:w="734" w:type="dxa"/>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2013</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shd w:val="clear" w:color="auto" w:fill="auto"/>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10.112</w:t>
            </w:r>
          </w:p>
        </w:tc>
        <w:tc>
          <w:tcPr>
            <w:tcW w:w="708"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12.337</w:t>
            </w:r>
          </w:p>
        </w:tc>
        <w:tc>
          <w:tcPr>
            <w:tcW w:w="709"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22.449</w:t>
            </w:r>
          </w:p>
        </w:tc>
        <w:tc>
          <w:tcPr>
            <w:tcW w:w="709"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16.034</w:t>
            </w:r>
          </w:p>
        </w:tc>
        <w:tc>
          <w:tcPr>
            <w:tcW w:w="931"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6.415</w:t>
            </w:r>
          </w:p>
        </w:tc>
      </w:tr>
      <w:tr>
        <w:tblPrEx/>
        <w:trPr>
          <w:jc w:val="center"/>
        </w:trPr>
        <w:tc>
          <w:tcPr>
            <w:tcW w:w="734" w:type="dxa"/>
            <w:tcBorders>
              <w:left w:val="nil"/>
              <w:right w:val="nil"/>
            </w:tcBorders>
            <w:shd w:val="clear" w:color="auto" w:fill="d2eaf1"/>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2014</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left w:val="nil"/>
              <w:right w:val="nil"/>
            </w:tcBorders>
            <w:shd w:val="clear" w:color="auto" w:fill="d2eaf1"/>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6.415</w:t>
            </w:r>
          </w:p>
        </w:tc>
        <w:tc>
          <w:tcPr>
            <w:tcW w:w="708"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12.511</w:t>
            </w:r>
          </w:p>
        </w:tc>
        <w:tc>
          <w:tcPr>
            <w:tcW w:w="709"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18.926</w:t>
            </w:r>
          </w:p>
        </w:tc>
        <w:tc>
          <w:tcPr>
            <w:tcW w:w="709"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14.501</w:t>
            </w:r>
          </w:p>
        </w:tc>
        <w:tc>
          <w:tcPr>
            <w:tcW w:w="931"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4.425</w:t>
            </w:r>
          </w:p>
        </w:tc>
      </w:tr>
      <w:tr>
        <w:tblPrEx/>
        <w:trPr>
          <w:jc w:val="center"/>
        </w:trPr>
        <w:tc>
          <w:tcPr>
            <w:tcW w:w="734" w:type="dxa"/>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2015</w:t>
            </w:r>
            <w:r>
              <w:rPr/>
              <w:fldChar w:fldCharType="begin"/>
            </w:r>
            <w:r>
              <w:instrText xml:space="preserve"> HYPERLINK "https://id.wikipedia.org/wiki/Mahkamah_Agung_Republik_Indonesia" \l "cite_note-Laptah_2015-2" </w:instrText>
            </w:r>
            <w:r>
              <w:rPr/>
              <w:fldChar w:fldCharType="separate"/>
            </w:r>
            <w:r>
              <w:rPr>
                <w:rFonts w:ascii="Arial" w:cs="Arial" w:hAnsi="Arial"/>
                <w:bCs/>
                <w:color w:val="000000"/>
                <w:sz w:val="16"/>
                <w:szCs w:val="16"/>
                <w:u w:val="single"/>
                <w:vertAlign w:val="superscript"/>
                <w:lang w:val="id-ID" w:eastAsia="id-ID"/>
              </w:rPr>
              <w:t>[2]</w:t>
            </w:r>
            <w:r>
              <w:rPr/>
              <w:fldChar w:fldCharType="end"/>
            </w:r>
          </w:p>
        </w:tc>
        <w:tc>
          <w:tcPr>
            <w:tcW w:w="993" w:type="dxa"/>
            <w:tcBorders/>
            <w:shd w:val="clear" w:color="auto" w:fill="auto"/>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4.425</w:t>
            </w:r>
          </w:p>
        </w:tc>
        <w:tc>
          <w:tcPr>
            <w:tcW w:w="708"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13.977</w:t>
            </w:r>
          </w:p>
        </w:tc>
        <w:tc>
          <w:tcPr>
            <w:tcW w:w="709"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18.402</w:t>
            </w:r>
          </w:p>
        </w:tc>
        <w:tc>
          <w:tcPr>
            <w:tcW w:w="709"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14.452</w:t>
            </w:r>
          </w:p>
        </w:tc>
        <w:tc>
          <w:tcPr>
            <w:tcW w:w="931"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3.950</w:t>
            </w:r>
          </w:p>
        </w:tc>
      </w:tr>
      <w:tr>
        <w:tblPrEx/>
        <w:trPr>
          <w:jc w:val="center"/>
        </w:trPr>
        <w:tc>
          <w:tcPr>
            <w:tcW w:w="734" w:type="dxa"/>
            <w:tcBorders>
              <w:left w:val="nil"/>
              <w:right w:val="nil"/>
            </w:tcBorders>
            <w:shd w:val="clear" w:color="auto" w:fill="d2eaf1"/>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2016</w:t>
            </w:r>
            <w:r>
              <w:rPr/>
              <w:fldChar w:fldCharType="begin"/>
            </w:r>
            <w:r>
              <w:instrText xml:space="preserve"> HYPERLINK "https://id.wikipedia.org/wiki/Mahkamah_Agung_Republik_Indonesia" \l "cite_note-9" </w:instrText>
            </w:r>
            <w:r>
              <w:rPr/>
              <w:fldChar w:fldCharType="separate"/>
            </w:r>
            <w:r>
              <w:rPr>
                <w:rFonts w:ascii="Arial" w:cs="Arial" w:hAnsi="Arial"/>
                <w:bCs/>
                <w:color w:val="000000"/>
                <w:sz w:val="16"/>
                <w:szCs w:val="16"/>
                <w:u w:val="single"/>
                <w:vertAlign w:val="superscript"/>
                <w:lang w:val="id-ID" w:eastAsia="id-ID"/>
              </w:rPr>
              <w:t>[9]</w:t>
            </w:r>
            <w:r>
              <w:rPr/>
              <w:fldChar w:fldCharType="end"/>
            </w:r>
          </w:p>
        </w:tc>
        <w:tc>
          <w:tcPr>
            <w:tcW w:w="993" w:type="dxa"/>
            <w:tcBorders>
              <w:left w:val="nil"/>
              <w:right w:val="nil"/>
            </w:tcBorders>
            <w:shd w:val="clear" w:color="auto" w:fill="d2eaf1"/>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3.950</w:t>
            </w:r>
          </w:p>
        </w:tc>
        <w:tc>
          <w:tcPr>
            <w:tcW w:w="708"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14.630</w:t>
            </w:r>
          </w:p>
        </w:tc>
        <w:tc>
          <w:tcPr>
            <w:tcW w:w="709" w:type="dxa"/>
            <w:tcBorders>
              <w:left w:val="nil"/>
              <w:right w:val="nil"/>
            </w:tcBorders>
            <w:shd w:val="clear" w:color="auto" w:fill="d2eaf1"/>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18.580</w:t>
            </w:r>
          </w:p>
        </w:tc>
        <w:tc>
          <w:tcPr>
            <w:tcW w:w="709"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16.223</w:t>
            </w:r>
          </w:p>
        </w:tc>
        <w:tc>
          <w:tcPr>
            <w:tcW w:w="931" w:type="dxa"/>
            <w:tcBorders>
              <w:left w:val="nil"/>
              <w:right w:val="nil"/>
            </w:tcBorders>
            <w:shd w:val="clear" w:color="auto" w:fill="d2eaf1"/>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2.357</w:t>
            </w:r>
          </w:p>
        </w:tc>
      </w:tr>
      <w:tr>
        <w:tblPrEx/>
        <w:trPr>
          <w:jc w:val="center"/>
        </w:trPr>
        <w:tc>
          <w:tcPr>
            <w:tcW w:w="734" w:type="dxa"/>
            <w:tcBorders/>
            <w:shd w:val="clear" w:color="auto" w:fill="auto"/>
            <w:hideMark/>
          </w:tcPr>
          <w:p>
            <w:pPr>
              <w:pStyle w:val="style0"/>
              <w:ind w:left="-142" w:right="-187"/>
              <w:jc w:val="center"/>
              <w:rPr>
                <w:rFonts w:ascii="Arial" w:cs="Arial" w:hAnsi="Arial"/>
                <w:bCs/>
                <w:color w:val="000000"/>
                <w:sz w:val="16"/>
                <w:szCs w:val="16"/>
                <w:lang w:val="id-ID" w:eastAsia="id-ID"/>
              </w:rPr>
            </w:pPr>
            <w:r>
              <w:rPr>
                <w:rFonts w:ascii="Arial" w:cs="Arial" w:hAnsi="Arial"/>
                <w:bCs/>
                <w:color w:val="000000"/>
                <w:sz w:val="16"/>
                <w:szCs w:val="16"/>
                <w:lang w:val="id-ID" w:eastAsia="id-ID"/>
              </w:rPr>
              <w:t>2017</w:t>
            </w:r>
            <w:r>
              <w:rPr/>
              <w:fldChar w:fldCharType="begin"/>
            </w:r>
            <w:r>
              <w:instrText xml:space="preserve"> HYPERLINK "https://id.wikipedia.org/wiki/Mahkamah_Agung_Republik_Indonesia" \l "cite_note-10" </w:instrText>
            </w:r>
            <w:r>
              <w:rPr/>
              <w:fldChar w:fldCharType="separate"/>
            </w:r>
            <w:r>
              <w:rPr>
                <w:rFonts w:ascii="Arial" w:cs="Arial" w:hAnsi="Arial"/>
                <w:bCs/>
                <w:color w:val="000000"/>
                <w:sz w:val="16"/>
                <w:szCs w:val="16"/>
                <w:u w:val="single"/>
                <w:vertAlign w:val="superscript"/>
                <w:lang w:val="id-ID" w:eastAsia="id-ID"/>
              </w:rPr>
              <w:t>[10]</w:t>
            </w:r>
            <w:r>
              <w:rPr/>
              <w:fldChar w:fldCharType="end"/>
            </w:r>
          </w:p>
        </w:tc>
        <w:tc>
          <w:tcPr>
            <w:tcW w:w="993" w:type="dxa"/>
            <w:tcBorders/>
            <w:shd w:val="clear" w:color="auto" w:fill="auto"/>
            <w:hideMark/>
          </w:tcPr>
          <w:p>
            <w:pPr>
              <w:pStyle w:val="style0"/>
              <w:ind w:left="-99" w:right="-85"/>
              <w:jc w:val="center"/>
              <w:rPr>
                <w:rFonts w:ascii="Arial" w:cs="Arial" w:hAnsi="Arial"/>
                <w:color w:val="000000"/>
                <w:sz w:val="16"/>
                <w:szCs w:val="16"/>
                <w:lang w:val="id-ID" w:eastAsia="id-ID"/>
              </w:rPr>
            </w:pPr>
            <w:r>
              <w:rPr>
                <w:rFonts w:ascii="Arial" w:cs="Arial" w:hAnsi="Arial"/>
                <w:color w:val="000000"/>
                <w:sz w:val="16"/>
                <w:szCs w:val="16"/>
                <w:lang w:val="id-ID" w:eastAsia="id-ID"/>
              </w:rPr>
              <w:t>2.357</w:t>
            </w:r>
          </w:p>
        </w:tc>
        <w:tc>
          <w:tcPr>
            <w:tcW w:w="708"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15.505</w:t>
            </w:r>
          </w:p>
        </w:tc>
        <w:tc>
          <w:tcPr>
            <w:tcW w:w="709" w:type="dxa"/>
            <w:tcBorders/>
            <w:shd w:val="clear" w:color="auto" w:fill="auto"/>
            <w:hideMark/>
          </w:tcPr>
          <w:p>
            <w:pPr>
              <w:pStyle w:val="style0"/>
              <w:ind w:left="-99" w:right="-134"/>
              <w:jc w:val="center"/>
              <w:rPr>
                <w:rFonts w:ascii="Arial" w:cs="Arial" w:hAnsi="Arial"/>
                <w:color w:val="000000"/>
                <w:sz w:val="16"/>
                <w:szCs w:val="16"/>
                <w:lang w:val="id-ID" w:eastAsia="id-ID"/>
              </w:rPr>
            </w:pPr>
            <w:r>
              <w:rPr>
                <w:rFonts w:ascii="Arial" w:cs="Arial" w:hAnsi="Arial"/>
                <w:color w:val="000000"/>
                <w:sz w:val="16"/>
                <w:szCs w:val="16"/>
                <w:lang w:val="id-ID" w:eastAsia="id-ID"/>
              </w:rPr>
              <w:t>17.862</w:t>
            </w:r>
          </w:p>
        </w:tc>
        <w:tc>
          <w:tcPr>
            <w:tcW w:w="709"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16.474</w:t>
            </w:r>
          </w:p>
        </w:tc>
        <w:tc>
          <w:tcPr>
            <w:tcW w:w="931" w:type="dxa"/>
            <w:tcBorders/>
            <w:shd w:val="clear" w:color="auto" w:fill="auto"/>
            <w:hideMark/>
          </w:tcPr>
          <w:p>
            <w:pPr>
              <w:pStyle w:val="style0"/>
              <w:ind w:left="-82" w:right="-128"/>
              <w:jc w:val="center"/>
              <w:rPr>
                <w:rFonts w:ascii="Arial" w:cs="Arial" w:hAnsi="Arial"/>
                <w:color w:val="000000"/>
                <w:sz w:val="16"/>
                <w:szCs w:val="16"/>
                <w:lang w:val="id-ID" w:eastAsia="id-ID"/>
              </w:rPr>
            </w:pPr>
            <w:r>
              <w:rPr>
                <w:rFonts w:ascii="Arial" w:cs="Arial" w:hAnsi="Arial"/>
                <w:color w:val="000000"/>
                <w:sz w:val="16"/>
                <w:szCs w:val="16"/>
                <w:lang w:val="id-ID" w:eastAsia="id-ID"/>
              </w:rPr>
              <w:t>1.388</w:t>
            </w:r>
          </w:p>
        </w:tc>
      </w:tr>
    </w:tbl>
    <w:p>
      <w:pPr>
        <w:pStyle w:val="style0"/>
        <w:jc w:val="both"/>
        <w:rPr>
          <w:rFonts w:ascii="Arial" w:cs="Arial" w:hAnsi="Arial"/>
          <w:color w:val="000000"/>
          <w:sz w:val="24"/>
          <w:szCs w:val="24"/>
        </w:rPr>
      </w:pPr>
    </w:p>
    <w:p>
      <w:pPr>
        <w:pStyle w:val="style0"/>
        <w:autoSpaceDE w:val="false"/>
        <w:autoSpaceDN w:val="false"/>
        <w:adjustRightInd w:val="false"/>
        <w:ind w:firstLine="567"/>
        <w:jc w:val="both"/>
        <w:rPr>
          <w:rFonts w:ascii="Arial" w:cs="Arial" w:hAnsi="Arial"/>
          <w:color w:val="000000"/>
          <w:sz w:val="24"/>
          <w:szCs w:val="24"/>
          <w:lang w:val="id-ID"/>
        </w:rPr>
      </w:pPr>
      <w:r>
        <w:rPr>
          <w:rFonts w:ascii="Arial" w:cs="Arial" w:hAnsi="Arial"/>
          <w:color w:val="000000"/>
          <w:sz w:val="24"/>
          <w:szCs w:val="24"/>
          <w:lang w:val="id-ID"/>
        </w:rPr>
        <w:t>Searah dengan</w:t>
      </w:r>
      <w:r>
        <w:rPr>
          <w:rFonts w:ascii="Arial" w:cs="Arial" w:hAnsi="Arial"/>
          <w:color w:val="000000"/>
          <w:sz w:val="24"/>
          <w:szCs w:val="24"/>
        </w:rPr>
        <w:t xml:space="preserve"> waktu setelah penerapan kebijakan tersebut, </w:t>
      </w:r>
      <w:r>
        <w:rPr>
          <w:rFonts w:ascii="Arial" w:cs="Arial" w:hAnsi="Arial"/>
          <w:color w:val="000000"/>
          <w:sz w:val="24"/>
          <w:szCs w:val="24"/>
          <w:lang w:val="id-ID"/>
        </w:rPr>
        <w:t>maka</w:t>
      </w:r>
      <w:r>
        <w:rPr>
          <w:rFonts w:ascii="Arial" w:cs="Arial" w:hAnsi="Arial"/>
          <w:color w:val="000000"/>
          <w:sz w:val="24"/>
          <w:szCs w:val="24"/>
        </w:rPr>
        <w:t xml:space="preserve"> data yang diperoleh, </w:t>
      </w:r>
      <w:r>
        <w:rPr>
          <w:rFonts w:ascii="Arial" w:cs="Arial" w:hAnsi="Arial"/>
          <w:color w:val="000000"/>
          <w:sz w:val="24"/>
          <w:szCs w:val="24"/>
          <w:lang w:val="id-ID"/>
        </w:rPr>
        <w:t xml:space="preserve">telah </w:t>
      </w:r>
      <w:r>
        <w:rPr>
          <w:rFonts w:ascii="Arial" w:cs="Arial" w:hAnsi="Arial"/>
          <w:color w:val="000000"/>
          <w:sz w:val="24"/>
          <w:szCs w:val="24"/>
        </w:rPr>
        <w:t>terjadi perubahan yang menggembirakan atau sesuai dengan tujuan percepatan proses penyelesaian perkara, seperti yang terlihat dalam tabe</w:t>
      </w:r>
      <w:r>
        <w:rPr>
          <w:rFonts w:ascii="Arial" w:cs="Arial" w:hAnsi="Arial"/>
          <w:color w:val="000000"/>
          <w:sz w:val="24"/>
          <w:szCs w:val="24"/>
          <w:lang w:val="id-ID"/>
        </w:rPr>
        <w:t>l</w:t>
      </w:r>
      <w:r>
        <w:rPr>
          <w:rFonts w:ascii="Arial" w:cs="Arial" w:hAnsi="Arial"/>
          <w:color w:val="000000"/>
          <w:sz w:val="24"/>
          <w:szCs w:val="24"/>
        </w:rPr>
        <w:t xml:space="preserve"> 1</w:t>
      </w:r>
      <w:r>
        <w:rPr>
          <w:rFonts w:ascii="Arial" w:cs="Arial" w:hAnsi="Arial"/>
          <w:color w:val="000000"/>
          <w:sz w:val="24"/>
          <w:szCs w:val="24"/>
          <w:lang w:val="id-ID"/>
        </w:rPr>
        <w:t xml:space="preserve">, berisi </w:t>
      </w:r>
      <w:r>
        <w:rPr>
          <w:rFonts w:ascii="Arial" w:cs="Arial" w:hAnsi="Arial"/>
          <w:color w:val="000000"/>
          <w:sz w:val="24"/>
          <w:szCs w:val="24"/>
          <w:lang w:val="id-ID" w:eastAsia="id-ID"/>
        </w:rPr>
        <w:t>d</w:t>
      </w:r>
      <w:r>
        <w:rPr>
          <w:rFonts w:ascii="Arial" w:cs="Arial" w:hAnsi="Arial"/>
          <w:color w:val="000000"/>
          <w:sz w:val="24"/>
          <w:szCs w:val="24"/>
          <w:lang w:eastAsia="id-ID"/>
        </w:rPr>
        <w:t xml:space="preserve">aftar </w:t>
      </w:r>
      <w:r>
        <w:rPr>
          <w:rFonts w:ascii="Arial" w:cs="Arial" w:hAnsi="Arial"/>
          <w:color w:val="000000"/>
          <w:sz w:val="24"/>
          <w:szCs w:val="24"/>
          <w:lang w:val="id-ID" w:eastAsia="id-ID"/>
        </w:rPr>
        <w:t>p</w:t>
      </w:r>
      <w:r>
        <w:rPr>
          <w:rFonts w:ascii="Arial" w:cs="Arial" w:hAnsi="Arial"/>
          <w:color w:val="000000"/>
          <w:sz w:val="24"/>
          <w:szCs w:val="24"/>
          <w:lang w:eastAsia="id-ID"/>
        </w:rPr>
        <w:t xml:space="preserve">erkara kasasi, peninjauan kembali, grasi, dan hak uji materil di </w:t>
      </w:r>
      <w:r>
        <w:rPr>
          <w:rFonts w:ascii="Arial" w:cs="Arial" w:hAnsi="Arial"/>
          <w:color w:val="000000"/>
          <w:sz w:val="24"/>
          <w:szCs w:val="24"/>
          <w:lang w:val="id-ID" w:eastAsia="id-ID"/>
        </w:rPr>
        <w:t xml:space="preserve">MA </w:t>
      </w:r>
      <w:r>
        <w:rPr>
          <w:rFonts w:ascii="Arial" w:cs="Arial" w:hAnsi="Arial"/>
          <w:color w:val="000000"/>
          <w:sz w:val="24"/>
          <w:szCs w:val="24"/>
          <w:lang w:val="id-ID" w:eastAsia="id-ID"/>
        </w:rPr>
        <w:t xml:space="preserve">sejak tahun 2004 sampai 2017, yang cenderung terus meningkat dalam penyelesaian perkaranya, dengan semakin turunnya sisa perkara yang belum selesai ditangani setiap tahunnya.  </w:t>
      </w:r>
      <w:r>
        <w:rPr>
          <w:rFonts w:ascii="Arial" w:cs="Arial" w:hAnsi="Arial"/>
          <w:color w:val="000000"/>
          <w:sz w:val="24"/>
          <w:szCs w:val="24"/>
        </w:rPr>
        <w:t xml:space="preserve"> Hal ini tidak bis</w:t>
      </w:r>
      <w:r>
        <w:rPr>
          <w:rFonts w:ascii="Arial" w:cs="Arial" w:hAnsi="Arial"/>
          <w:color w:val="000000"/>
          <w:sz w:val="24"/>
          <w:szCs w:val="24"/>
          <w:lang w:val="id-ID"/>
        </w:rPr>
        <w:t>a</w:t>
      </w:r>
      <w:r>
        <w:rPr>
          <w:rFonts w:ascii="Arial" w:cs="Arial" w:hAnsi="Arial"/>
          <w:color w:val="000000"/>
          <w:sz w:val="24"/>
          <w:szCs w:val="24"/>
        </w:rPr>
        <w:t xml:space="preserve"> dikesampingkan begitu saja karena cepatnya perkara </w:t>
      </w:r>
      <w:r>
        <w:rPr>
          <w:rFonts w:ascii="Arial" w:cs="Arial" w:hAnsi="Arial"/>
          <w:color w:val="000000"/>
          <w:sz w:val="24"/>
          <w:szCs w:val="24"/>
          <w:lang w:val="id-ID"/>
        </w:rPr>
        <w:t>di</w:t>
      </w:r>
      <w:r>
        <w:rPr>
          <w:rFonts w:ascii="Arial" w:cs="Arial" w:hAnsi="Arial"/>
          <w:color w:val="000000"/>
          <w:sz w:val="24"/>
          <w:szCs w:val="24"/>
        </w:rPr>
        <w:t>selesai</w:t>
      </w:r>
      <w:r>
        <w:rPr>
          <w:rFonts w:ascii="Arial" w:cs="Arial" w:hAnsi="Arial"/>
          <w:color w:val="000000"/>
          <w:sz w:val="24"/>
          <w:szCs w:val="24"/>
          <w:lang w:val="id-ID"/>
        </w:rPr>
        <w:t>kan</w:t>
      </w:r>
      <w:r>
        <w:rPr>
          <w:rFonts w:ascii="Arial" w:cs="Arial" w:hAnsi="Arial"/>
          <w:color w:val="000000"/>
          <w:sz w:val="24"/>
          <w:szCs w:val="24"/>
        </w:rPr>
        <w:t xml:space="preserve"> merupakan prestasi tersendiri bagi MA dalam memanajemen perkaranya yang</w:t>
      </w:r>
      <w:r>
        <w:rPr>
          <w:rFonts w:ascii="Arial" w:cs="Arial" w:hAnsi="Arial"/>
          <w:color w:val="000000"/>
          <w:sz w:val="24"/>
          <w:szCs w:val="24"/>
          <w:lang w:val="id-ID"/>
        </w:rPr>
        <w:t xml:space="preserve"> </w:t>
      </w:r>
      <w:r>
        <w:rPr>
          <w:rFonts w:ascii="Arial" w:cs="Arial" w:hAnsi="Arial"/>
          <w:color w:val="000000"/>
          <w:sz w:val="24"/>
          <w:szCs w:val="24"/>
        </w:rPr>
        <w:t>sangat tinggi</w:t>
      </w:r>
      <w:r>
        <w:rPr>
          <w:rFonts w:ascii="Arial" w:cs="Arial" w:hAnsi="Arial"/>
          <w:color w:val="000000"/>
          <w:sz w:val="24"/>
          <w:szCs w:val="24"/>
          <w:lang w:val="id-ID"/>
        </w:rPr>
        <w:t xml:space="preserve"> setiap tahunnya</w:t>
      </w:r>
      <w:r>
        <w:rPr>
          <w:rFonts w:ascii="Arial" w:cs="Arial" w:hAnsi="Arial"/>
          <w:color w:val="000000"/>
          <w:sz w:val="24"/>
          <w:szCs w:val="24"/>
        </w:rPr>
        <w:t xml:space="preserve">. </w:t>
      </w:r>
    </w:p>
    <w:p>
      <w:pPr>
        <w:pStyle w:val="style0"/>
        <w:ind w:firstLine="720"/>
        <w:jc w:val="both"/>
        <w:rPr>
          <w:rFonts w:ascii="Arial" w:cs="Arial" w:hAnsi="Arial"/>
          <w:color w:val="000000"/>
          <w:sz w:val="24"/>
          <w:szCs w:val="24"/>
        </w:rPr>
      </w:pPr>
      <w:r>
        <w:rPr>
          <w:rFonts w:ascii="Arial" w:cs="Arial" w:hAnsi="Arial"/>
          <w:color w:val="000000"/>
          <w:sz w:val="24"/>
          <w:szCs w:val="24"/>
        </w:rPr>
        <w:t>Namun pada dua tujuan lainnya</w:t>
      </w:r>
      <w:r>
        <w:rPr>
          <w:rFonts w:ascii="Arial" w:cs="Arial" w:hAnsi="Arial"/>
          <w:color w:val="000000"/>
          <w:sz w:val="24"/>
          <w:szCs w:val="24"/>
          <w:lang w:val="id-ID"/>
        </w:rPr>
        <w:t xml:space="preserve"> sebagai konsekuensi penerapan sistem kamar tentunya </w:t>
      </w:r>
      <w:r>
        <w:rPr>
          <w:rFonts w:ascii="Arial" w:cs="Arial" w:hAnsi="Arial"/>
          <w:color w:val="000000"/>
          <w:sz w:val="24"/>
          <w:szCs w:val="24"/>
        </w:rPr>
        <w:t>masih menyisakan banyak pertanyaan dan permasalahan yang harus terus menerus dicarikan jalan keluarnya.</w:t>
      </w:r>
    </w:p>
    <w:p>
      <w:pPr>
        <w:pStyle w:val="style0"/>
        <w:ind w:firstLine="720"/>
        <w:jc w:val="both"/>
        <w:rPr>
          <w:rFonts w:ascii="Arial" w:cs="Arial" w:hAnsi="Arial"/>
          <w:color w:val="000000"/>
          <w:sz w:val="24"/>
          <w:szCs w:val="24"/>
        </w:rPr>
      </w:pPr>
      <w:r>
        <w:rPr>
          <w:rFonts w:ascii="Arial" w:cs="Arial" w:hAnsi="Arial"/>
          <w:color w:val="000000"/>
          <w:sz w:val="24"/>
          <w:szCs w:val="24"/>
        </w:rPr>
        <w:t xml:space="preserve">Penyelesaian perkara yang harus ditangani Mahkamah Agung, sesuai </w:t>
      </w:r>
      <w:r>
        <w:rPr>
          <w:rFonts w:ascii="Arial" w:cs="Arial" w:hAnsi="Arial"/>
          <w:color w:val="000000"/>
          <w:sz w:val="24"/>
          <w:szCs w:val="24"/>
          <w:lang w:val="id-ID"/>
        </w:rPr>
        <w:t>Undang-Undang Nomor 3 Tahun 2009 tentang Perubahan Kedua atas UU Nomor 14 Tahun 1985 tentang Mahkamah Agung (UU MA)</w:t>
      </w:r>
      <w:r>
        <w:rPr>
          <w:rFonts w:ascii="Arial" w:cs="Arial" w:hAnsi="Arial"/>
          <w:color w:val="000000"/>
          <w:sz w:val="24"/>
          <w:szCs w:val="24"/>
        </w:rPr>
        <w:t xml:space="preserve"> seperti yang telah diuraikan diatas, termasuk perkara kasasi merupakan hal penting untuk dilakukan evaluasi dalam pelaksanaannya sebagai bagian dari penerapan sistem kamar yang diberlakukan selama ini.</w:t>
      </w:r>
    </w:p>
    <w:p>
      <w:pPr>
        <w:pStyle w:val="style0"/>
        <w:ind w:firstLine="720"/>
        <w:jc w:val="both"/>
        <w:rPr>
          <w:rFonts w:ascii="Arial" w:cs="Arial" w:hAnsi="Arial"/>
          <w:color w:val="000000"/>
          <w:sz w:val="24"/>
          <w:szCs w:val="24"/>
        </w:rPr>
      </w:pPr>
      <w:r>
        <w:rPr>
          <w:rFonts w:ascii="Arial" w:cs="Arial" w:hAnsi="Arial"/>
          <w:color w:val="000000"/>
          <w:sz w:val="24"/>
          <w:szCs w:val="24"/>
        </w:rPr>
        <w:t>Seirama dengan arus perkembangan zaman dengan dicanangkannya reformasi birokrasi dalam dasawarsa terakhir, pihak institusi telah menyusun cetak biru pembaruan peradilan dengan membenahi, merancang dan  menyusun suatu agenda penyempurnaan dalam mengolah perkara h</w:t>
      </w:r>
      <w:r>
        <w:rPr>
          <w:rFonts w:ascii="Arial" w:cs="Arial" w:hAnsi="Arial"/>
          <w:color w:val="000000"/>
          <w:sz w:val="24"/>
          <w:szCs w:val="24"/>
          <w:lang w:val="id-ID"/>
        </w:rPr>
        <w:t>u</w:t>
      </w:r>
      <w:r>
        <w:rPr>
          <w:rFonts w:ascii="Arial" w:cs="Arial" w:hAnsi="Arial"/>
          <w:color w:val="000000"/>
          <w:sz w:val="24"/>
          <w:szCs w:val="24"/>
        </w:rPr>
        <w:t>kum yang harus ditangani setiap harinya dan membuat laporan</w:t>
      </w:r>
      <w:r>
        <w:rPr>
          <w:rFonts w:ascii="Arial" w:cs="Arial" w:hAnsi="Arial"/>
          <w:color w:val="000000"/>
          <w:sz w:val="24"/>
          <w:szCs w:val="24"/>
          <w:lang w:val="id-ID"/>
        </w:rPr>
        <w:t xml:space="preserve"> </w:t>
      </w:r>
      <w:r>
        <w:rPr>
          <w:rFonts w:ascii="Arial" w:cs="Arial" w:hAnsi="Arial"/>
          <w:color w:val="000000"/>
          <w:sz w:val="24"/>
          <w:szCs w:val="24"/>
        </w:rPr>
        <w:t xml:space="preserve"> rutin setiap triwulan, semester dan tahunan.</w:t>
      </w:r>
    </w:p>
    <w:p>
      <w:pPr>
        <w:pStyle w:val="style0"/>
        <w:autoSpaceDE w:val="false"/>
        <w:autoSpaceDN w:val="false"/>
        <w:adjustRightInd w:val="false"/>
        <w:jc w:val="both"/>
        <w:rPr>
          <w:rFonts w:ascii="Arial" w:cs="Arial" w:hAnsi="Arial"/>
          <w:color w:val="000000"/>
          <w:sz w:val="24"/>
          <w:szCs w:val="24"/>
          <w:lang w:val="sv-SE"/>
        </w:rPr>
      </w:pPr>
      <w:r>
        <w:rPr>
          <w:rFonts w:ascii="Arial" w:cs="Arial" w:hAnsi="Arial"/>
          <w:color w:val="000000"/>
          <w:sz w:val="24"/>
          <w:szCs w:val="24"/>
        </w:rPr>
        <w:t>Pada dokumen Cetak Biru Pembaruan Peradilan 2010-2035,  Mahkamah Agung</w:t>
      </w:r>
      <w:r>
        <w:rPr>
          <w:rFonts w:ascii="Arial" w:cs="Arial" w:hAnsi="Arial"/>
          <w:color w:val="000000"/>
          <w:sz w:val="24"/>
          <w:szCs w:val="24"/>
          <w:lang w:val="id-ID"/>
        </w:rPr>
        <w:t>,</w:t>
      </w:r>
      <w:r>
        <w:rPr>
          <w:rFonts w:ascii="Arial" w:cs="Arial" w:hAnsi="Arial"/>
          <w:color w:val="000000"/>
          <w:sz w:val="24"/>
          <w:szCs w:val="24"/>
        </w:rPr>
        <w:t xml:space="preserve"> diuraikan  mengenai </w:t>
      </w:r>
      <w:r>
        <w:rPr>
          <w:rFonts w:ascii="Arial" w:cs="Arial" w:hAnsi="Arial"/>
          <w:color w:val="000000"/>
          <w:sz w:val="24"/>
          <w:szCs w:val="24"/>
          <w:lang w:val="sv-SE"/>
        </w:rPr>
        <w:t>agenda penyempurnaan manajemen perkara yang dibagi menjadi 3 (tiga) bagian besar, yakni:  Modernisasi manajemen perkara;</w:t>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Penataan ulang organisasi manajemen perkara; Penataan ulang proses manajemen perkara.</w:t>
      </w:r>
    </w:p>
    <w:p>
      <w:pPr>
        <w:pStyle w:val="style0"/>
        <w:ind w:left="284"/>
        <w:jc w:val="both"/>
        <w:rPr>
          <w:rFonts w:ascii="Arial" w:cs="Arial" w:hAnsi="Arial"/>
          <w:sz w:val="24"/>
          <w:szCs w:val="24"/>
        </w:rPr>
      </w:pPr>
      <w:r>
        <w:rPr>
          <w:rFonts w:ascii="Arial" w:cs="Arial" w:hAnsi="Arial"/>
          <w:sz w:val="24"/>
          <w:szCs w:val="24"/>
        </w:rPr>
        <w:t xml:space="preserve">Pada tahap kedua, modernisasi manajemen peradilan diarahkan pada pembenahan manajemen peradilan untuk keperluan internal dengan menyempurnakan Buku II dan Buku III Pengadilan sehingga berorientasi pada pelayananan dan memanfaatkan teknologi dan informasi. Hasil akhir yang diharapkan dari proses tersebut ditujukan agar dapat menciptakan efisiensi proses, </w:t>
      </w:r>
      <w:r>
        <w:rPr>
          <w:rFonts w:ascii="Arial" w:cs="Arial" w:hAnsi="Arial"/>
          <w:sz w:val="24"/>
          <w:szCs w:val="24"/>
        </w:rPr>
        <w:t>misalnya, mengurangi beban proses minutasi, berita acara persidangan, supervisi, serta peluang untuk menyatukan proses yang tersebar pada lebih dari satu orang ke satu orang, dan lain sebagainya.</w:t>
      </w:r>
      <w:r>
        <w:rPr>
          <w:rFonts w:ascii="Arial" w:cs="Arial" w:hAnsi="Arial"/>
          <w:color w:val="000000"/>
          <w:sz w:val="24"/>
          <w:szCs w:val="24"/>
          <w:vertAlign w:val="superscript"/>
          <w:lang w:val="sv-SE"/>
        </w:rPr>
        <w:footnoteReference w:id="4"/>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Sesuai dengan fokus penelitian ini, maka tahap dua tersebut menjadi hal yang menarik untuk dibahas, karena apabila menyangkut kepentingan internal yang dikupas akan menjadi pro dan kontra pendapat. Pro pendapat apabila sudah memahami dan menyadari kekurangan organisasi</w:t>
      </w:r>
      <w:r>
        <w:rPr>
          <w:rFonts w:ascii="Arial" w:cs="Arial" w:hAnsi="Arial"/>
          <w:color w:val="000000"/>
          <w:sz w:val="24"/>
          <w:szCs w:val="24"/>
          <w:lang w:val="id-ID"/>
        </w:rPr>
        <w:t>,</w:t>
      </w:r>
      <w:r>
        <w:rPr>
          <w:rFonts w:ascii="Arial" w:cs="Arial" w:hAnsi="Arial"/>
          <w:color w:val="000000"/>
          <w:sz w:val="24"/>
          <w:szCs w:val="24"/>
          <w:lang w:val="sv-SE"/>
        </w:rPr>
        <w:t xml:space="preserve"> </w:t>
      </w:r>
      <w:r>
        <w:rPr>
          <w:rFonts w:ascii="Arial" w:cs="Arial" w:hAnsi="Arial"/>
          <w:color w:val="000000"/>
          <w:sz w:val="24"/>
          <w:szCs w:val="24"/>
          <w:lang w:val="id-ID"/>
        </w:rPr>
        <w:t xml:space="preserve">dan berharap </w:t>
      </w:r>
      <w:r>
        <w:rPr>
          <w:rFonts w:ascii="Arial" w:cs="Arial" w:hAnsi="Arial"/>
          <w:color w:val="000000"/>
          <w:sz w:val="24"/>
          <w:szCs w:val="24"/>
          <w:lang w:val="sv-SE"/>
        </w:rPr>
        <w:t xml:space="preserve">supaya lebih kuat dan maju kedepan serta mampu beradaptasi dengan zaman, karena organisasi bukanlah </w:t>
      </w:r>
      <w:r>
        <w:rPr>
          <w:rFonts w:ascii="Arial" w:cs="Arial" w:hAnsi="Arial"/>
          <w:color w:val="000000"/>
          <w:sz w:val="24"/>
          <w:szCs w:val="24"/>
          <w:lang w:val="id-ID"/>
        </w:rPr>
        <w:t xml:space="preserve"> </w:t>
      </w:r>
      <w:r>
        <w:rPr>
          <w:rFonts w:ascii="Arial" w:cs="Arial" w:hAnsi="Arial"/>
          <w:color w:val="000000"/>
          <w:sz w:val="24"/>
          <w:szCs w:val="24"/>
          <w:lang w:val="sv-SE"/>
        </w:rPr>
        <w:t xml:space="preserve">milik pribadi </w:t>
      </w:r>
      <w:r>
        <w:rPr>
          <w:rFonts w:ascii="Arial" w:cs="Arial" w:hAnsi="Arial"/>
          <w:color w:val="000000"/>
          <w:sz w:val="24"/>
          <w:szCs w:val="24"/>
          <w:lang w:val="id-ID"/>
        </w:rPr>
        <w:t>atau</w:t>
      </w:r>
      <w:r>
        <w:rPr>
          <w:rFonts w:ascii="Arial" w:cs="Arial" w:hAnsi="Arial"/>
          <w:color w:val="000000"/>
          <w:sz w:val="24"/>
          <w:szCs w:val="24"/>
          <w:lang w:val="sv-SE"/>
        </w:rPr>
        <w:t xml:space="preserve"> golongan sedangkan yang kontra pendapat adalah </w:t>
      </w:r>
      <w:r>
        <w:rPr>
          <w:rFonts w:ascii="Arial" w:cs="Arial" w:hAnsi="Arial"/>
          <w:color w:val="000000"/>
          <w:sz w:val="24"/>
          <w:szCs w:val="24"/>
          <w:lang w:val="id-ID"/>
        </w:rPr>
        <w:t xml:space="preserve">berpikir </w:t>
      </w:r>
      <w:r>
        <w:rPr>
          <w:rFonts w:ascii="Arial" w:cs="Arial" w:hAnsi="Arial"/>
          <w:color w:val="000000"/>
          <w:sz w:val="24"/>
          <w:szCs w:val="24"/>
          <w:lang w:val="sv-SE"/>
        </w:rPr>
        <w:t xml:space="preserve">sebaliknya. </w:t>
      </w:r>
    </w:p>
    <w:p>
      <w:pPr>
        <w:pStyle w:val="style0"/>
        <w:autoSpaceDE w:val="false"/>
        <w:autoSpaceDN w:val="false"/>
        <w:adjustRightInd w:val="false"/>
        <w:ind w:left="284"/>
        <w:jc w:val="both"/>
        <w:rPr>
          <w:rFonts w:ascii="Arial" w:cs="Arial" w:hAnsi="Arial"/>
          <w:color w:val="000000"/>
          <w:sz w:val="24"/>
          <w:szCs w:val="24"/>
          <w:lang w:eastAsia="id-ID"/>
        </w:rPr>
      </w:pPr>
      <w:r>
        <w:rPr>
          <w:rFonts w:ascii="Arial" w:cs="Arial" w:hAnsi="Arial"/>
          <w:color w:val="000000"/>
          <w:sz w:val="24"/>
          <w:szCs w:val="24"/>
          <w:lang w:val="id-ID" w:eastAsia="id-ID"/>
        </w:rPr>
        <w:t xml:space="preserve">Penyempurnaan organisasi kepaniteraan perlu dilakukan dengan pendekatan </w:t>
      </w:r>
      <w:r>
        <w:rPr>
          <w:rFonts w:ascii="Arial" w:cs="Arial" w:hAnsi="Arial"/>
          <w:i/>
          <w:iCs/>
          <w:color w:val="000000"/>
          <w:sz w:val="24"/>
          <w:szCs w:val="24"/>
          <w:lang w:val="id-ID" w:eastAsia="id-ID"/>
        </w:rPr>
        <w:t xml:space="preserve">structure follow function. </w:t>
      </w:r>
      <w:r>
        <w:rPr>
          <w:rFonts w:ascii="Arial" w:cs="Arial" w:hAnsi="Arial"/>
          <w:color w:val="000000"/>
          <w:sz w:val="24"/>
          <w:szCs w:val="24"/>
          <w:lang w:val="id-ID" w:eastAsia="id-ID"/>
        </w:rPr>
        <w:t>Proses ini harus mampu menyelesaikan masalah yang timbul dari pemisahan unit pengelolaan perkara dari kepaniteraan, sehingga alur penanganan perkara hanya ditangani oleh satu satuan kerja</w:t>
      </w:r>
      <w:r>
        <w:rPr>
          <w:rFonts w:ascii="Arial" w:cs="Arial" w:hAnsi="Arial"/>
          <w:color w:val="000000"/>
          <w:sz w:val="24"/>
          <w:szCs w:val="24"/>
          <w:lang w:eastAsia="id-ID"/>
        </w:rPr>
        <w:t xml:space="preserve">  </w:t>
      </w:r>
      <w:r>
        <w:rPr>
          <w:rFonts w:ascii="Arial" w:cs="Arial" w:hAnsi="Arial"/>
          <w:color w:val="000000"/>
          <w:sz w:val="24"/>
          <w:szCs w:val="24"/>
          <w:lang w:val="id-ID" w:eastAsia="id-ID"/>
        </w:rPr>
        <w:t>Desain Kepaniteraan pada Pengadilan Tingkat Pertama dan Banding perlu dikaji kembali untuk menentukan desain organisasi yang paling efektif dan efisien dengan  mempertimbangkan  aspek efektivitas dan  implementasi teknologi dan informasi</w:t>
      </w:r>
      <w:r>
        <w:rPr>
          <w:rFonts w:ascii="Arial" w:cs="Arial" w:hAnsi="Arial"/>
          <w:color w:val="000000"/>
          <w:sz w:val="24"/>
          <w:szCs w:val="24"/>
          <w:lang w:eastAsia="id-ID"/>
        </w:rPr>
        <w:t>.</w:t>
      </w:r>
      <w:r>
        <w:rPr>
          <w:rFonts w:ascii="Arial" w:cs="Arial" w:hAnsi="Arial"/>
          <w:color w:val="000000"/>
          <w:sz w:val="24"/>
          <w:szCs w:val="24"/>
          <w:vertAlign w:val="superscript"/>
          <w:lang w:val="sv-SE" w:eastAsia="id-ID"/>
        </w:rPr>
        <w:footnoteReference w:id="5"/>
      </w:r>
    </w:p>
    <w:p>
      <w:pPr>
        <w:pStyle w:val="style4114"/>
        <w:ind w:firstLine="709"/>
        <w:jc w:val="both"/>
        <w:rPr>
          <w:rFonts w:ascii="Arial" w:cs="Arial" w:hAnsi="Arial"/>
        </w:rPr>
      </w:pPr>
      <w:r>
        <w:rPr>
          <w:rFonts w:ascii="Arial" w:cs="Arial" w:hAnsi="Arial"/>
        </w:rPr>
        <w:t xml:space="preserve">Dengan demikian bagan struktur pengadilan (saat ini dibatasi dengan struktur kepaniteraan dan kesekretariatan), padahal dalam organisasi pengadilan tersebut terdapat unsur kehakiman dan kejurusitaan yang harus tersurat dalam suatu susunan strukturnya.  Dalam cetak biru pembaruan di MA, sudah diarahkan pada adanya keharusan mengubah susunan organisasi dan tata kerja pengadilan pada semua tingkatan pengadilan yang berada dilingkungan MA, yakni Pengadilan Negeri, Pengadilan Agama, Pengadilan Militer dan Pengadilan Tata Usaha Negara, Pengadilan Tinggi Negeri, Pengadilan Tinggi Agama, </w:t>
      </w:r>
      <w:r>
        <w:rPr>
          <w:rFonts w:ascii="Arial" w:cs="Arial" w:hAnsi="Arial"/>
        </w:rPr>
        <w:t xml:space="preserve">Pengadilan Tinggi Tata Usaha Negara dan Pengadilan Tinggi Militer serta Pengadilan Terakhir (Tingkat MA), menyesuaikan kebutuhannya  dengan  </w:t>
      </w:r>
      <w:r>
        <w:rPr>
          <w:rFonts w:ascii="Arial" w:cs="Arial" w:hAnsi="Arial"/>
          <w:i/>
          <w:iCs/>
        </w:rPr>
        <w:t>structure f</w:t>
      </w:r>
      <w:r>
        <w:rPr>
          <w:rFonts w:ascii="Arial" w:cs="Arial" w:hAnsi="Arial"/>
          <w:i/>
          <w:iCs/>
        </w:rPr>
        <w:t xml:space="preserve">ollow function, </w:t>
      </w:r>
      <w:r>
        <w:rPr>
          <w:rFonts w:ascii="Arial" w:cs="Arial" w:hAnsi="Arial"/>
          <w:iCs/>
        </w:rPr>
        <w:t>yang akan dijelaskan pada Bab III karya tulis ini.  Perubahan tersebut tentunya akan mempunyai pengaruh pada pengadilan pajak, arbitrase dan pengadilan lain yang tugas fungsinya memeriksa, mengadili, memutus dan mengeksekusi perkara hukum.</w:t>
      </w:r>
    </w:p>
    <w:p>
      <w:pPr>
        <w:pStyle w:val="style0"/>
        <w:jc w:val="center"/>
        <w:rPr>
          <w:rFonts w:ascii="Arial" w:cs="Arial" w:hAnsi="Arial"/>
          <w:b/>
          <w:color w:val="000000"/>
          <w:sz w:val="24"/>
          <w:szCs w:val="24"/>
          <w:lang w:val="sv-SE"/>
        </w:rPr>
      </w:pPr>
      <w:r>
        <w:rPr>
          <w:rFonts w:ascii="Arial" w:cs="Arial" w:hAnsi="Arial"/>
          <w:b/>
          <w:color w:val="000000"/>
          <w:sz w:val="24"/>
          <w:szCs w:val="24"/>
          <w:lang w:val="sv-SE"/>
        </w:rPr>
        <w:t>Gambar 1.  Arah Modernisasi Manajemen Perkara</w:t>
      </w:r>
      <w:r>
        <w:rPr>
          <w:rFonts w:ascii="Arial" w:cs="Arial" w:hAnsi="Arial"/>
          <w:color w:val="000000"/>
          <w:sz w:val="24"/>
          <w:szCs w:val="24"/>
          <w:vertAlign w:val="superscript"/>
          <w:lang w:val="sv-SE"/>
        </w:rPr>
        <w:footnoteReference w:id="6"/>
      </w:r>
    </w:p>
    <w:p>
      <w:pPr>
        <w:pStyle w:val="style0"/>
        <w:rPr>
          <w:rFonts w:ascii="Arial" w:cs="Arial" w:hAnsi="Arial"/>
          <w:b/>
          <w:color w:val="000000"/>
          <w:sz w:val="24"/>
          <w:szCs w:val="24"/>
          <w:lang w:val="sv-SE"/>
        </w:rPr>
      </w:pPr>
    </w:p>
    <w:p>
      <w:pPr>
        <w:pStyle w:val="style0"/>
        <w:rPr>
          <w:rFonts w:ascii="Arial" w:cs="Arial" w:hAnsi="Arial"/>
          <w:b/>
          <w:color w:val="000000"/>
          <w:sz w:val="24"/>
          <w:szCs w:val="24"/>
          <w:lang w:val="sv-SE"/>
        </w:rPr>
      </w:pPr>
      <w:r>
        <w:rPr>
          <w:rFonts w:ascii="Arial" w:cs="Arial" w:hAnsi="Arial"/>
          <w:b/>
          <w:noProof/>
          <w:color w:val="000000"/>
          <w:sz w:val="24"/>
          <w:szCs w:val="24"/>
        </w:rPr>
        <w:drawing>
          <wp:inline distL="0" distT="0" distB="0" distR="0">
            <wp:extent cx="3016333" cy="3978234"/>
            <wp:effectExtent l="0" t="0" r="0" b="381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 cstate="print"/>
                    <a:srcRect l="0" t="0" r="0" b="0"/>
                    <a:stretch/>
                  </pic:blipFill>
                  <pic:spPr>
                    <a:xfrm rot="0">
                      <a:off x="0" y="0"/>
                      <a:ext cx="3016333" cy="3978234"/>
                    </a:xfrm>
                    <a:prstGeom prst="rect"/>
                    <a:ln>
                      <a:noFill/>
                    </a:ln>
                  </pic:spPr>
                </pic:pic>
              </a:graphicData>
            </a:graphic>
          </wp:inline>
        </w:drawing>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 xml:space="preserve">Penguatan organisasi pada fungsi kepaniteraan diberbagai tingkatan pengadilan, pada tingkat wilayah/daerah dan pusat merupakan hal mutlak  yang harus  disempurnakan karena pengelolaan administrasi  perkara memerlukan suatu keahlian dan keterampilan </w:t>
      </w:r>
      <w:r>
        <w:rPr>
          <w:rFonts w:ascii="Arial" w:cs="Arial" w:hAnsi="Arial"/>
          <w:color w:val="000000"/>
          <w:sz w:val="24"/>
          <w:szCs w:val="24"/>
          <w:lang w:val="id-ID"/>
        </w:rPr>
        <w:t>khusus</w:t>
      </w:r>
      <w:r>
        <w:rPr>
          <w:rFonts w:ascii="Arial" w:cs="Arial" w:hAnsi="Arial"/>
          <w:color w:val="000000"/>
          <w:sz w:val="24"/>
          <w:szCs w:val="24"/>
          <w:lang w:val="sv-SE"/>
        </w:rPr>
        <w:t xml:space="preserve"> yang harus dikuasai oleh Panitera.   Kuat dan lemahnya fungsi kepaniteraan  ini akan berdampak sangat besar pada peran dan fungsi kehakiman yang dipegang oleh Hakim yang senantiasa terus-menerus dituntut profesional dalam menjalankan tugas dan fungsi kehakiman.</w:t>
      </w:r>
    </w:p>
    <w:p>
      <w:pPr>
        <w:pStyle w:val="style0"/>
        <w:ind w:firstLine="720"/>
        <w:jc w:val="both"/>
        <w:rPr>
          <w:rFonts w:ascii="Arial" w:cs="Arial" w:hAnsi="Arial"/>
          <w:bCs/>
          <w:color w:val="000000"/>
          <w:sz w:val="24"/>
          <w:szCs w:val="24"/>
        </w:rPr>
      </w:pPr>
      <w:r>
        <w:rPr>
          <w:rFonts w:ascii="Arial" w:cs="Arial" w:hAnsi="Arial"/>
          <w:bCs/>
          <w:color w:val="000000"/>
          <w:sz w:val="24"/>
          <w:szCs w:val="24"/>
        </w:rPr>
        <w:t>Makalah</w:t>
      </w:r>
      <w:r>
        <w:rPr>
          <w:rFonts w:ascii="Arial" w:cs="Arial" w:hAnsi="Arial"/>
          <w:bCs/>
          <w:color w:val="000000"/>
          <w:sz w:val="24"/>
          <w:szCs w:val="24"/>
        </w:rPr>
        <w:t xml:space="preserve"> ini dibatasi </w:t>
      </w:r>
      <w:r>
        <w:rPr>
          <w:rFonts w:ascii="Arial" w:cs="Arial" w:hAnsi="Arial"/>
          <w:bCs/>
          <w:color w:val="000000"/>
          <w:sz w:val="24"/>
          <w:szCs w:val="24"/>
          <w:lang w:val="id-ID"/>
        </w:rPr>
        <w:t xml:space="preserve"> dan lebih berfokus pada sudut pandang proses </w:t>
      </w:r>
      <w:r>
        <w:rPr>
          <w:rFonts w:ascii="Arial" w:cs="Arial" w:hAnsi="Arial"/>
          <w:bCs/>
          <w:color w:val="000000"/>
          <w:sz w:val="24"/>
          <w:szCs w:val="24"/>
        </w:rPr>
        <w:t>penyelesaian perkara secara struktural di</w:t>
      </w:r>
      <w:r>
        <w:rPr>
          <w:rFonts w:ascii="Arial" w:cs="Arial" w:hAnsi="Arial"/>
          <w:bCs/>
          <w:color w:val="000000"/>
          <w:sz w:val="24"/>
          <w:szCs w:val="24"/>
          <w:lang w:val="id-ID"/>
        </w:rPr>
        <w:t xml:space="preserve"> Mahkamah Agung</w:t>
      </w:r>
      <w:r>
        <w:rPr>
          <w:rFonts w:ascii="Arial" w:cs="Arial" w:hAnsi="Arial"/>
          <w:bCs/>
          <w:color w:val="000000"/>
          <w:sz w:val="24"/>
          <w:szCs w:val="24"/>
        </w:rPr>
        <w:t xml:space="preserve"> dan pelaksanaan pembagian kamar sesuai dengan substansi h</w:t>
      </w:r>
      <w:r>
        <w:rPr>
          <w:rFonts w:ascii="Arial" w:cs="Arial" w:hAnsi="Arial"/>
          <w:bCs/>
          <w:color w:val="000000"/>
          <w:sz w:val="24"/>
          <w:szCs w:val="24"/>
          <w:lang w:val="id-ID"/>
        </w:rPr>
        <w:t>u</w:t>
      </w:r>
      <w:r>
        <w:rPr>
          <w:rFonts w:ascii="Arial" w:cs="Arial" w:hAnsi="Arial"/>
          <w:bCs/>
          <w:color w:val="000000"/>
          <w:sz w:val="24"/>
          <w:szCs w:val="24"/>
        </w:rPr>
        <w:t xml:space="preserve">kum serta peran struktur organisasi yang mempunyai pengaruh besar dalam </w:t>
      </w:r>
      <w:r>
        <w:rPr>
          <w:rFonts w:ascii="Arial" w:cs="Arial" w:hAnsi="Arial"/>
          <w:bCs/>
          <w:color w:val="000000"/>
          <w:sz w:val="24"/>
          <w:szCs w:val="24"/>
          <w:lang w:val="id-ID"/>
        </w:rPr>
        <w:t>pencapaian tugas, fungsi organisasi serta visi, misi Mahkamah Agung sebagai Lembaga</w:t>
      </w:r>
      <w:r>
        <w:rPr>
          <w:rFonts w:ascii="Arial" w:cs="Arial" w:hAnsi="Arial"/>
          <w:bCs/>
          <w:color w:val="000000"/>
          <w:sz w:val="24"/>
          <w:szCs w:val="24"/>
        </w:rPr>
        <w:t xml:space="preserve"> Penyelenggara</w:t>
      </w:r>
      <w:r>
        <w:rPr>
          <w:rFonts w:ascii="Arial" w:cs="Arial" w:hAnsi="Arial"/>
          <w:bCs/>
          <w:color w:val="000000"/>
          <w:sz w:val="24"/>
          <w:szCs w:val="24"/>
          <w:lang w:val="id-ID"/>
        </w:rPr>
        <w:t xml:space="preserve"> Negara</w:t>
      </w:r>
      <w:r>
        <w:rPr>
          <w:rFonts w:ascii="Arial" w:cs="Arial" w:hAnsi="Arial"/>
          <w:bCs/>
          <w:color w:val="000000"/>
          <w:sz w:val="24"/>
          <w:szCs w:val="24"/>
        </w:rPr>
        <w:t xml:space="preserve"> (Lembaga Pemerintah Non Kementerian)</w:t>
      </w:r>
      <w:r>
        <w:rPr>
          <w:rFonts w:ascii="Arial" w:cs="Arial" w:hAnsi="Arial"/>
          <w:bCs/>
          <w:color w:val="000000"/>
          <w:sz w:val="24"/>
          <w:szCs w:val="24"/>
          <w:lang w:val="id-ID"/>
        </w:rPr>
        <w:t xml:space="preserve"> yang berperan sebagai lembaga yudikatif</w:t>
      </w:r>
      <w:r>
        <w:rPr>
          <w:rFonts w:ascii="Arial" w:cs="Arial" w:hAnsi="Arial"/>
          <w:bCs/>
          <w:color w:val="000000"/>
          <w:sz w:val="24"/>
          <w:szCs w:val="24"/>
        </w:rPr>
        <w:t xml:space="preserve">.  </w:t>
      </w:r>
    </w:p>
    <w:p>
      <w:pPr>
        <w:pStyle w:val="style0"/>
        <w:ind w:firstLine="720"/>
        <w:jc w:val="both"/>
        <w:rPr>
          <w:rFonts w:ascii="Arial" w:cs="Arial" w:hAnsi="Arial"/>
          <w:bCs/>
          <w:color w:val="000000"/>
          <w:sz w:val="24"/>
          <w:szCs w:val="24"/>
          <w:lang w:val="id-ID"/>
        </w:rPr>
      </w:pPr>
      <w:r>
        <w:rPr>
          <w:rFonts w:ascii="Arial" w:cs="Arial" w:hAnsi="Arial"/>
          <w:bCs/>
          <w:color w:val="000000"/>
          <w:sz w:val="24"/>
          <w:szCs w:val="24"/>
        </w:rPr>
        <w:t>Dengan demikian penyempurnaan dan penguatan fungsi kepaniteraan dalam mengelola administrasi perkara pada tingkat kasasi merupakan upaya yang harus selalu dijalankan dengan mencari formulasi yang tepat, sehingga organisasi menjadi lebih fleksibel dalam menentukan arah kebijakannya, menuju peradilan yang maju dan modern.</w:t>
      </w:r>
    </w:p>
    <w:p>
      <w:pPr>
        <w:pStyle w:val="style0"/>
        <w:spacing w:before="120"/>
        <w:jc w:val="both"/>
        <w:rPr>
          <w:rFonts w:ascii="Arial" w:cs="Arial" w:hAnsi="Arial"/>
          <w:bCs/>
          <w:sz w:val="22"/>
          <w:szCs w:val="22"/>
          <w:lang w:val="en-GB"/>
        </w:rPr>
      </w:pPr>
      <w:r>
        <w:rPr>
          <w:rFonts w:ascii="Arial" w:cs="Arial" w:hAnsi="Arial"/>
          <w:b/>
          <w:bCs/>
          <w:sz w:val="22"/>
          <w:szCs w:val="22"/>
          <w:lang w:val="en-GB"/>
        </w:rPr>
        <w:t>R</w:t>
      </w:r>
      <w:r>
        <w:rPr>
          <w:rFonts w:ascii="Arial" w:cs="Arial" w:hAnsi="Arial"/>
          <w:b/>
          <w:bCs/>
          <w:sz w:val="22"/>
          <w:szCs w:val="22"/>
          <w:lang w:val="id-ID"/>
        </w:rPr>
        <w:t xml:space="preserve">umusan </w:t>
      </w:r>
      <w:r>
        <w:rPr>
          <w:rFonts w:ascii="Arial" w:cs="Arial" w:hAnsi="Arial"/>
          <w:b/>
          <w:bCs/>
          <w:sz w:val="22"/>
          <w:szCs w:val="22"/>
          <w:lang w:val="en-GB"/>
        </w:rPr>
        <w:t>M</w:t>
      </w:r>
      <w:r>
        <w:rPr>
          <w:rFonts w:ascii="Arial" w:cs="Arial" w:hAnsi="Arial"/>
          <w:b/>
          <w:bCs/>
          <w:sz w:val="22"/>
          <w:szCs w:val="22"/>
          <w:lang w:val="id-ID"/>
        </w:rPr>
        <w:t>asalah</w:t>
      </w:r>
      <w:r>
        <w:rPr>
          <w:rFonts w:ascii="Arial" w:cs="Arial" w:hAnsi="Arial"/>
          <w:bCs/>
          <w:sz w:val="22"/>
          <w:szCs w:val="22"/>
          <w:lang w:val="id-ID"/>
        </w:rPr>
        <w:t xml:space="preserve"> </w:t>
      </w:r>
    </w:p>
    <w:p>
      <w:pPr>
        <w:pStyle w:val="style0"/>
        <w:ind w:firstLine="720"/>
        <w:jc w:val="both"/>
        <w:rPr>
          <w:rFonts w:ascii="Arial" w:cs="Arial" w:hAnsi="Arial"/>
          <w:bCs/>
          <w:color w:val="000000"/>
          <w:sz w:val="24"/>
          <w:szCs w:val="24"/>
        </w:rPr>
      </w:pPr>
      <w:r>
        <w:rPr>
          <w:rFonts w:ascii="Arial" w:cs="Arial" w:hAnsi="Arial"/>
          <w:bCs/>
          <w:color w:val="000000"/>
          <w:sz w:val="24"/>
          <w:szCs w:val="24"/>
        </w:rPr>
        <w:t xml:space="preserve">Perumusan masalah dalam penelitian ini adalah:  </w:t>
      </w:r>
      <w:r>
        <w:rPr>
          <w:rFonts w:ascii="Arial" w:cs="Arial" w:hAnsi="Arial"/>
          <w:color w:val="000000"/>
          <w:sz w:val="24"/>
          <w:szCs w:val="24"/>
        </w:rPr>
        <w:t>Bagaimana</w:t>
      </w:r>
      <w:r>
        <w:rPr>
          <w:rFonts w:ascii="Arial" w:cs="Arial" w:hAnsi="Arial"/>
          <w:color w:val="000000"/>
          <w:sz w:val="24"/>
          <w:szCs w:val="24"/>
          <w:lang w:val="id-ID"/>
        </w:rPr>
        <w:t xml:space="preserve"> </w:t>
      </w:r>
      <w:r>
        <w:rPr>
          <w:rFonts w:ascii="Arial" w:cs="Arial" w:hAnsi="Arial"/>
          <w:color w:val="000000"/>
          <w:sz w:val="24"/>
          <w:szCs w:val="24"/>
        </w:rPr>
        <w:t xml:space="preserve"> </w:t>
      </w:r>
      <w:r>
        <w:rPr>
          <w:rFonts w:ascii="Arial" w:cs="Arial" w:hAnsi="Arial"/>
          <w:color w:val="000000"/>
          <w:sz w:val="24"/>
          <w:szCs w:val="24"/>
          <w:lang w:val="id-ID"/>
        </w:rPr>
        <w:t>penyelesaian perkara kasasi</w:t>
      </w:r>
      <w:r>
        <w:rPr>
          <w:rFonts w:ascii="Arial" w:cs="Arial" w:hAnsi="Arial"/>
          <w:color w:val="000000"/>
          <w:sz w:val="24"/>
          <w:szCs w:val="24"/>
        </w:rPr>
        <w:t xml:space="preserve"> di Mahkamah Agung R.I.</w:t>
      </w:r>
      <w:r>
        <w:rPr>
          <w:rFonts w:ascii="Arial" w:cs="Arial" w:hAnsi="Arial"/>
          <w:color w:val="000000"/>
          <w:sz w:val="24"/>
          <w:szCs w:val="24"/>
          <w:lang w:val="id-ID"/>
        </w:rPr>
        <w:t xml:space="preserve"> ?</w:t>
      </w:r>
    </w:p>
    <w:p>
      <w:pPr>
        <w:pStyle w:val="style0"/>
        <w:spacing w:before="120"/>
        <w:jc w:val="both"/>
        <w:rPr>
          <w:rFonts w:ascii="Arial" w:cs="Arial" w:hAnsi="Arial"/>
          <w:b/>
          <w:bCs/>
          <w:sz w:val="22"/>
          <w:szCs w:val="22"/>
          <w:lang w:val="en-GB"/>
        </w:rPr>
      </w:pPr>
      <w:r>
        <w:rPr>
          <w:rFonts w:ascii="Arial" w:cs="Arial" w:hAnsi="Arial"/>
          <w:b/>
          <w:bCs/>
          <w:sz w:val="22"/>
          <w:szCs w:val="22"/>
          <w:lang w:val="en-GB"/>
        </w:rPr>
        <w:t>Tujuan</w:t>
      </w:r>
    </w:p>
    <w:p>
      <w:pPr>
        <w:pStyle w:val="style0"/>
        <w:ind w:firstLine="720"/>
        <w:jc w:val="both"/>
        <w:rPr>
          <w:rFonts w:ascii="Arial" w:cs="Arial" w:hAnsi="Arial"/>
          <w:color w:val="000000"/>
          <w:sz w:val="24"/>
          <w:szCs w:val="24"/>
        </w:rPr>
      </w:pPr>
      <w:r>
        <w:rPr>
          <w:rFonts w:ascii="Arial" w:cs="Arial" w:hAnsi="Arial"/>
          <w:color w:val="000000"/>
          <w:sz w:val="24"/>
          <w:szCs w:val="24"/>
        </w:rPr>
        <w:t xml:space="preserve">Tujuan penelitian ini adalah : </w:t>
      </w:r>
      <w:r>
        <w:rPr>
          <w:rFonts w:ascii="Arial" w:cs="Arial" w:hAnsi="Arial"/>
          <w:color w:val="000000"/>
          <w:sz w:val="24"/>
          <w:szCs w:val="24"/>
          <w:lang w:val="id-ID"/>
        </w:rPr>
        <w:t>Untuk mengetahui dan menganalisis penyelesaian perkara k</w:t>
      </w:r>
      <w:r>
        <w:rPr>
          <w:rFonts w:ascii="Arial" w:cs="Arial" w:hAnsi="Arial"/>
          <w:color w:val="000000"/>
          <w:sz w:val="24"/>
          <w:szCs w:val="24"/>
        </w:rPr>
        <w:t>asasi di Mahkamah Agung R.I</w:t>
      </w:r>
      <w:r>
        <w:rPr>
          <w:rFonts w:ascii="Arial" w:cs="Arial" w:hAnsi="Arial"/>
          <w:color w:val="000000"/>
          <w:sz w:val="24"/>
          <w:szCs w:val="24"/>
          <w:lang w:val="id-ID"/>
        </w:rPr>
        <w:t>.</w:t>
      </w:r>
    </w:p>
    <w:p>
      <w:pPr>
        <w:pStyle w:val="style0"/>
        <w:spacing w:before="120"/>
        <w:jc w:val="both"/>
        <w:rPr>
          <w:rFonts w:ascii="Arial" w:cs="Arial" w:hAnsi="Arial"/>
          <w:b/>
          <w:bCs/>
          <w:sz w:val="22"/>
          <w:szCs w:val="22"/>
          <w:lang w:val="en-GB"/>
        </w:rPr>
      </w:pPr>
      <w:r>
        <w:rPr>
          <w:rFonts w:ascii="Arial" w:cs="Arial" w:hAnsi="Arial"/>
          <w:b/>
          <w:bCs/>
          <w:sz w:val="22"/>
          <w:szCs w:val="22"/>
          <w:lang w:val="en-GB"/>
        </w:rPr>
        <w:t>Metode Penelitian</w:t>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Penelitian ini</w:t>
      </w:r>
      <w:r>
        <w:rPr>
          <w:rFonts w:ascii="Arial" w:cs="Arial" w:hAnsi="Arial"/>
          <w:color w:val="000000"/>
          <w:sz w:val="24"/>
          <w:szCs w:val="24"/>
          <w:lang w:val="id-ID"/>
        </w:rPr>
        <w:t xml:space="preserve"> </w:t>
      </w:r>
      <w:r>
        <w:rPr>
          <w:rFonts w:ascii="Arial" w:cs="Arial" w:hAnsi="Arial"/>
          <w:color w:val="000000"/>
          <w:sz w:val="24"/>
          <w:szCs w:val="24"/>
          <w:lang w:val="sv-SE"/>
        </w:rPr>
        <w:t xml:space="preserve">dilaksanakan dilingkungan Mahkamah Agung pada unit </w:t>
      </w:r>
      <w:r>
        <w:rPr>
          <w:rFonts w:ascii="Arial" w:cs="Arial" w:hAnsi="Arial"/>
          <w:color w:val="000000"/>
          <w:sz w:val="24"/>
          <w:szCs w:val="24"/>
          <w:lang w:val="id-ID"/>
        </w:rPr>
        <w:t>E</w:t>
      </w:r>
      <w:r>
        <w:rPr>
          <w:rFonts w:ascii="Arial" w:cs="Arial" w:hAnsi="Arial"/>
          <w:color w:val="000000"/>
          <w:sz w:val="24"/>
          <w:szCs w:val="24"/>
          <w:lang w:val="sv-SE"/>
        </w:rPr>
        <w:t>selon I dan Pengadilan di</w:t>
      </w:r>
      <w:r>
        <w:rPr>
          <w:rFonts w:ascii="Arial" w:cs="Arial" w:hAnsi="Arial"/>
          <w:color w:val="000000"/>
          <w:sz w:val="24"/>
          <w:szCs w:val="24"/>
          <w:lang w:val="id-ID"/>
        </w:rPr>
        <w:t xml:space="preserve"> </w:t>
      </w:r>
      <w:r>
        <w:rPr>
          <w:rFonts w:ascii="Arial" w:cs="Arial" w:hAnsi="Arial"/>
          <w:color w:val="000000"/>
          <w:sz w:val="24"/>
          <w:szCs w:val="24"/>
        </w:rPr>
        <w:t xml:space="preserve">D.K.I. Jakarta dan Jawa Barat </w:t>
      </w:r>
      <w:r>
        <w:rPr>
          <w:rFonts w:ascii="Arial" w:cs="Arial" w:hAnsi="Arial"/>
          <w:color w:val="000000"/>
          <w:sz w:val="24"/>
          <w:szCs w:val="24"/>
        </w:rPr>
        <w:t>tahun</w:t>
      </w:r>
      <w:r>
        <w:rPr>
          <w:rFonts w:ascii="Arial" w:cs="Arial" w:hAnsi="Arial"/>
          <w:color w:val="000000"/>
          <w:sz w:val="24"/>
          <w:szCs w:val="24"/>
          <w:lang w:val="sv-SE"/>
        </w:rPr>
        <w:t xml:space="preserve"> 2019.  </w:t>
      </w:r>
    </w:p>
    <w:p>
      <w:pPr>
        <w:pStyle w:val="style0"/>
        <w:ind w:left="-108" w:right="-99"/>
        <w:jc w:val="center"/>
        <w:rPr>
          <w:rFonts w:ascii="Arial" w:cs="Arial" w:hAnsi="Arial"/>
          <w:color w:val="000000"/>
          <w:sz w:val="24"/>
          <w:szCs w:val="24"/>
          <w:lang w:val="sv-SE"/>
        </w:rPr>
      </w:pPr>
      <w:r>
        <w:rPr>
          <w:rFonts w:ascii="Arial" w:cs="Arial" w:hAnsi="Arial"/>
          <w:color w:val="000000"/>
          <w:sz w:val="24"/>
          <w:szCs w:val="24"/>
          <w:lang w:val="sv-SE"/>
        </w:rPr>
        <w:t xml:space="preserve">Tabel  </w:t>
      </w:r>
      <w:r>
        <w:rPr>
          <w:rFonts w:ascii="Arial" w:cs="Arial" w:hAnsi="Arial"/>
          <w:color w:val="000000"/>
          <w:sz w:val="24"/>
          <w:szCs w:val="24"/>
        </w:rPr>
        <w:t>2</w:t>
      </w:r>
      <w:r>
        <w:rPr>
          <w:rFonts w:ascii="Arial" w:cs="Arial" w:hAnsi="Arial"/>
          <w:color w:val="000000"/>
          <w:sz w:val="24"/>
          <w:szCs w:val="24"/>
          <w:lang w:val="sv-SE"/>
        </w:rPr>
        <w:t>.   Instrumen Penelitian</w:t>
      </w:r>
    </w:p>
    <w:tbl>
      <w:tblPr>
        <w:tblW w:w="4645" w:type="dxa"/>
        <w:tblLayout w:type="fixed"/>
        <w:tblLook w:val="04A0" w:firstRow="1" w:lastRow="0" w:firstColumn="1" w:lastColumn="0" w:noHBand="0" w:noVBand="1"/>
      </w:tblPr>
      <w:tblGrid>
        <w:gridCol w:w="959"/>
        <w:gridCol w:w="2977"/>
        <w:gridCol w:w="709"/>
      </w:tblGrid>
      <w:tr>
        <w:trPr>
          <w:trHeight w:val="262" w:hRule="atLeast"/>
        </w:trPr>
        <w:tc>
          <w:tcPr>
            <w:tcW w:w="959" w:type="dxa"/>
            <w:tcBorders>
              <w:top w:val="single" w:sz="4" w:space="0" w:color="auto"/>
              <w:bottom w:val="single" w:sz="4" w:space="0" w:color="auto"/>
            </w:tcBorders>
          </w:tcPr>
          <w:p>
            <w:pPr>
              <w:pStyle w:val="style0"/>
              <w:ind w:left="-142" w:right="-103"/>
              <w:jc w:val="center"/>
              <w:rPr>
                <w:rFonts w:ascii="Arial" w:cs="Arial" w:hAnsi="Arial"/>
                <w:bCs/>
                <w:color w:val="000000"/>
                <w:sz w:val="24"/>
                <w:szCs w:val="24"/>
                <w:lang w:val="id-ID"/>
              </w:rPr>
            </w:pPr>
            <w:r>
              <w:rPr>
                <w:rFonts w:ascii="Arial" w:cs="Arial" w:hAnsi="Arial"/>
                <w:bCs/>
                <w:color w:val="000000"/>
                <w:sz w:val="24"/>
                <w:szCs w:val="24"/>
                <w:lang w:val="sv-SE"/>
              </w:rPr>
              <w:t>Variabel</w:t>
            </w:r>
          </w:p>
        </w:tc>
        <w:tc>
          <w:tcPr>
            <w:tcW w:w="2977" w:type="dxa"/>
            <w:tcBorders>
              <w:top w:val="single" w:sz="4" w:space="0" w:color="auto"/>
              <w:bottom w:val="single" w:sz="4" w:space="0" w:color="auto"/>
            </w:tcBorders>
          </w:tcPr>
          <w:p>
            <w:pPr>
              <w:pStyle w:val="style0"/>
              <w:tabs>
                <w:tab w:val="left" w:leader="none" w:pos="284"/>
              </w:tabs>
              <w:ind w:right="-114"/>
              <w:jc w:val="center"/>
              <w:rPr>
                <w:rFonts w:ascii="Arial" w:cs="Arial" w:eastAsia="Calibri" w:hAnsi="Arial"/>
                <w:bCs/>
                <w:color w:val="000000"/>
                <w:sz w:val="24"/>
                <w:szCs w:val="24"/>
              </w:rPr>
            </w:pPr>
            <w:r>
              <w:rPr>
                <w:rFonts w:ascii="Arial" w:cs="Arial" w:hAnsi="Arial"/>
                <w:bCs/>
                <w:color w:val="000000"/>
                <w:sz w:val="24"/>
                <w:szCs w:val="24"/>
                <w:lang w:val="sv-SE"/>
              </w:rPr>
              <w:t>Indikator</w:t>
            </w:r>
          </w:p>
        </w:tc>
        <w:tc>
          <w:tcPr>
            <w:tcW w:w="709" w:type="dxa"/>
            <w:tcBorders>
              <w:top w:val="single" w:sz="4" w:space="0" w:color="auto"/>
              <w:bottom w:val="single" w:sz="4" w:space="0" w:color="auto"/>
            </w:tcBorders>
          </w:tcPr>
          <w:p>
            <w:pPr>
              <w:pStyle w:val="style0"/>
              <w:ind w:left="-103" w:right="-102"/>
              <w:jc w:val="center"/>
              <w:rPr>
                <w:rFonts w:ascii="Arial" w:cs="Arial" w:eastAsia="Calibri" w:hAnsi="Arial"/>
                <w:bCs/>
                <w:color w:val="000000"/>
                <w:sz w:val="24"/>
                <w:szCs w:val="24"/>
                <w:lang w:val="id-ID"/>
              </w:rPr>
            </w:pPr>
            <w:r>
              <w:rPr>
                <w:rFonts w:ascii="Arial" w:cs="Arial" w:eastAsia="Calibri" w:hAnsi="Arial"/>
                <w:bCs/>
                <w:color w:val="000000"/>
                <w:sz w:val="24"/>
                <w:szCs w:val="24"/>
              </w:rPr>
              <w:t>Teori</w:t>
            </w:r>
          </w:p>
        </w:tc>
      </w:tr>
      <w:tr>
        <w:tblPrEx/>
        <w:trPr>
          <w:trHeight w:val="262" w:hRule="atLeast"/>
        </w:trPr>
        <w:tc>
          <w:tcPr>
            <w:tcW w:w="959" w:type="dxa"/>
            <w:vMerge w:val="restart"/>
            <w:tcBorders>
              <w:top w:val="single" w:sz="4" w:space="0" w:color="auto"/>
              <w:bottom w:val="single" w:sz="4" w:space="0" w:color="auto"/>
            </w:tcBorders>
          </w:tcPr>
          <w:p>
            <w:pPr>
              <w:pStyle w:val="style0"/>
              <w:ind w:left="-142" w:right="-103"/>
              <w:rPr>
                <w:rFonts w:ascii="Arial" w:cs="Arial" w:hAnsi="Arial"/>
                <w:b/>
                <w:bCs/>
                <w:color w:val="000000"/>
                <w:sz w:val="24"/>
                <w:szCs w:val="24"/>
              </w:rPr>
            </w:pPr>
          </w:p>
          <w:p>
            <w:pPr>
              <w:pStyle w:val="style0"/>
              <w:ind w:left="-142" w:right="-103"/>
              <w:rPr>
                <w:rFonts w:ascii="Arial" w:cs="Arial" w:hAnsi="Arial"/>
                <w:b/>
                <w:bCs/>
                <w:color w:val="000000"/>
                <w:sz w:val="24"/>
                <w:szCs w:val="24"/>
              </w:rPr>
            </w:pPr>
          </w:p>
          <w:p>
            <w:pPr>
              <w:pStyle w:val="style0"/>
              <w:ind w:left="-142" w:right="-103"/>
              <w:rPr>
                <w:rFonts w:ascii="Arial" w:cs="Arial" w:hAnsi="Arial"/>
                <w:b/>
                <w:bCs/>
                <w:color w:val="000000"/>
                <w:sz w:val="24"/>
                <w:szCs w:val="24"/>
              </w:rPr>
            </w:pPr>
          </w:p>
          <w:p>
            <w:pPr>
              <w:pStyle w:val="style0"/>
              <w:ind w:left="-142" w:right="-103"/>
              <w:jc w:val="center"/>
              <w:rPr>
                <w:rFonts w:ascii="Arial" w:cs="Arial" w:hAnsi="Arial"/>
                <w:bCs/>
                <w:color w:val="000000"/>
                <w:sz w:val="24"/>
                <w:szCs w:val="24"/>
                <w:lang w:val="sv-SE"/>
              </w:rPr>
            </w:pPr>
            <w:r>
              <w:rPr>
                <w:rFonts w:ascii="Arial" w:cs="Arial" w:hAnsi="Arial"/>
                <w:bCs/>
                <w:color w:val="000000"/>
                <w:sz w:val="24"/>
                <w:szCs w:val="24"/>
                <w:lang w:val="id-ID"/>
              </w:rPr>
              <w:t>Perkara Kasasi</w:t>
            </w:r>
          </w:p>
        </w:tc>
        <w:tc>
          <w:tcPr>
            <w:tcW w:w="2977" w:type="dxa"/>
            <w:tcBorders>
              <w:top w:val="single" w:sz="4" w:space="0" w:color="auto"/>
              <w:bottom w:val="single" w:sz="4" w:space="0" w:color="auto"/>
            </w:tcBorders>
          </w:tcPr>
          <w:p>
            <w:pPr>
              <w:pStyle w:val="style0"/>
              <w:numPr>
                <w:ilvl w:val="0"/>
                <w:numId w:val="3"/>
              </w:numPr>
              <w:tabs>
                <w:tab w:val="left" w:leader="none" w:pos="284"/>
              </w:tabs>
              <w:ind w:left="322" w:hanging="322"/>
              <w:rPr>
                <w:rFonts w:ascii="Arial" w:cs="Arial" w:hAnsi="Arial"/>
                <w:color w:val="000000"/>
                <w:sz w:val="24"/>
                <w:szCs w:val="24"/>
                <w:lang w:val="sv-SE"/>
              </w:rPr>
            </w:pPr>
            <w:r>
              <w:rPr>
                <w:rFonts w:ascii="Arial" w:cs="Arial" w:eastAsia="Calibri" w:hAnsi="Arial"/>
                <w:color w:val="000000"/>
                <w:sz w:val="24"/>
                <w:szCs w:val="24"/>
                <w:lang w:val="id-ID" w:eastAsia="id-ID"/>
              </w:rPr>
              <w:t>Kelembagaan</w:t>
            </w:r>
            <w:r>
              <w:rPr>
                <w:rFonts w:ascii="Arial" w:cs="Arial" w:eastAsia="Calibri" w:hAnsi="Arial"/>
                <w:color w:val="000000"/>
                <w:sz w:val="24"/>
                <w:szCs w:val="24"/>
                <w:lang w:eastAsia="id-ID"/>
              </w:rPr>
              <w:t xml:space="preserve"> (Struktur,  fungsi) </w:t>
            </w:r>
            <w:r>
              <w:rPr>
                <w:rFonts w:ascii="Arial" w:cs="Arial" w:eastAsia="Calibri" w:hAnsi="Arial"/>
                <w:color w:val="000000"/>
                <w:sz w:val="24"/>
                <w:szCs w:val="24"/>
                <w:lang w:eastAsia="id-ID"/>
              </w:rPr>
              <w:t>organisasi</w:t>
            </w:r>
          </w:p>
        </w:tc>
        <w:tc>
          <w:tcPr>
            <w:tcW w:w="709" w:type="dxa"/>
            <w:tcBorders>
              <w:top w:val="single" w:sz="4" w:space="0" w:color="auto"/>
              <w:bottom w:val="single" w:sz="4" w:space="0" w:color="auto"/>
            </w:tcBorders>
          </w:tcPr>
          <w:p>
            <w:pPr>
              <w:pStyle w:val="style0"/>
              <w:jc w:val="center"/>
              <w:rPr>
                <w:rFonts w:ascii="Arial" w:cs="Arial" w:eastAsia="Calibri" w:hAnsi="Arial"/>
                <w:color w:val="000000"/>
                <w:sz w:val="24"/>
                <w:szCs w:val="24"/>
              </w:rPr>
            </w:pPr>
          </w:p>
        </w:tc>
      </w:tr>
      <w:tr>
        <w:tblPrEx/>
        <w:trPr>
          <w:trHeight w:val="262" w:hRule="atLeast"/>
        </w:trPr>
        <w:tc>
          <w:tcPr>
            <w:tcW w:w="959" w:type="dxa"/>
            <w:vMerge w:val="continue"/>
            <w:tcBorders>
              <w:top w:val="single" w:sz="4" w:space="0" w:color="auto"/>
              <w:bottom w:val="single" w:sz="4" w:space="0" w:color="auto"/>
            </w:tcBorders>
          </w:tcPr>
          <w:p>
            <w:pPr>
              <w:pStyle w:val="style0"/>
              <w:ind w:left="-142" w:right="-103"/>
              <w:rPr>
                <w:rFonts w:ascii="Arial" w:cs="Arial" w:hAnsi="Arial"/>
                <w:b/>
                <w:bCs/>
                <w:color w:val="000000"/>
                <w:sz w:val="24"/>
                <w:szCs w:val="24"/>
              </w:rPr>
            </w:pPr>
          </w:p>
        </w:tc>
        <w:tc>
          <w:tcPr>
            <w:tcW w:w="2977" w:type="dxa"/>
            <w:tcBorders>
              <w:top w:val="single" w:sz="4" w:space="0" w:color="auto"/>
              <w:bottom w:val="single" w:sz="4" w:space="0" w:color="auto"/>
            </w:tcBorders>
          </w:tcPr>
          <w:p>
            <w:pPr>
              <w:pStyle w:val="style0"/>
              <w:numPr>
                <w:ilvl w:val="0"/>
                <w:numId w:val="3"/>
              </w:numPr>
              <w:tabs>
                <w:tab w:val="left" w:leader="none" w:pos="284"/>
              </w:tabs>
              <w:ind w:left="322" w:hanging="322"/>
              <w:rPr>
                <w:rFonts w:ascii="Arial" w:cs="Arial" w:eastAsia="Calibri" w:hAnsi="Arial"/>
                <w:color w:val="000000"/>
                <w:sz w:val="24"/>
                <w:szCs w:val="24"/>
                <w:lang w:val="id-ID" w:eastAsia="id-ID"/>
              </w:rPr>
            </w:pPr>
            <w:r>
              <w:rPr>
                <w:rFonts w:ascii="Arial" w:cs="Arial" w:eastAsia="Calibri" w:hAnsi="Arial"/>
                <w:color w:val="000000"/>
                <w:sz w:val="24"/>
                <w:szCs w:val="24"/>
                <w:lang w:val="id-ID" w:eastAsia="id-ID"/>
              </w:rPr>
              <w:t xml:space="preserve">Mekanisme </w:t>
            </w:r>
            <w:r>
              <w:rPr>
                <w:rFonts w:ascii="Arial" w:cs="Arial" w:eastAsia="Calibri" w:hAnsi="Arial"/>
                <w:color w:val="000000"/>
                <w:sz w:val="24"/>
                <w:szCs w:val="24"/>
                <w:lang w:eastAsia="id-ID"/>
              </w:rPr>
              <w:t xml:space="preserve">(SOP: Biaya, </w:t>
            </w:r>
            <w:r>
              <w:rPr>
                <w:rFonts w:ascii="Arial" w:cs="Arial" w:eastAsia="Calibri" w:hAnsi="Arial"/>
                <w:color w:val="000000"/>
                <w:sz w:val="24"/>
                <w:szCs w:val="24"/>
                <w:lang w:eastAsia="id-ID"/>
              </w:rPr>
              <w:t>waktu penyelesaian, alur jalannya permohonan)</w:t>
            </w:r>
          </w:p>
        </w:tc>
        <w:tc>
          <w:tcPr>
            <w:tcW w:w="709" w:type="dxa"/>
            <w:tcBorders>
              <w:top w:val="single" w:sz="4" w:space="0" w:color="auto"/>
              <w:bottom w:val="single" w:sz="4" w:space="0" w:color="auto"/>
            </w:tcBorders>
          </w:tcPr>
          <w:p>
            <w:pPr>
              <w:pStyle w:val="style0"/>
              <w:jc w:val="center"/>
              <w:rPr>
                <w:rFonts w:ascii="Arial" w:cs="Arial" w:eastAsia="Calibri" w:hAnsi="Arial"/>
                <w:color w:val="000000"/>
                <w:sz w:val="24"/>
                <w:szCs w:val="24"/>
              </w:rPr>
            </w:pPr>
          </w:p>
        </w:tc>
      </w:tr>
    </w:tbl>
    <w:p>
      <w:pPr>
        <w:pStyle w:val="style0"/>
        <w:ind w:firstLine="720"/>
        <w:jc w:val="both"/>
        <w:rPr>
          <w:rFonts w:ascii="Arial" w:cs="Arial" w:hAnsi="Arial"/>
          <w:color w:val="000000"/>
          <w:sz w:val="24"/>
          <w:szCs w:val="24"/>
          <w:lang w:bidi="en-US"/>
        </w:rPr>
      </w:pPr>
    </w:p>
    <w:p>
      <w:pPr>
        <w:pStyle w:val="style0"/>
        <w:ind w:firstLine="720"/>
        <w:jc w:val="both"/>
        <w:rPr>
          <w:rFonts w:ascii="Arial" w:cs="Arial" w:hAnsi="Arial"/>
          <w:color w:val="000000"/>
          <w:sz w:val="24"/>
          <w:szCs w:val="24"/>
          <w:lang w:val="id-ID" w:bidi="en-US"/>
        </w:rPr>
      </w:pPr>
      <w:r>
        <w:rPr>
          <w:rFonts w:ascii="Arial" w:cs="Arial" w:hAnsi="Arial"/>
          <w:color w:val="000000"/>
          <w:sz w:val="24"/>
          <w:szCs w:val="24"/>
          <w:lang w:val="id-ID" w:bidi="en-US"/>
        </w:rPr>
        <w:t>Metode penelitian yang digunakan berupa metode kualitatif yang tidak membutuhkan populasi dan sampel</w:t>
      </w:r>
      <w:r>
        <w:rPr>
          <w:rFonts w:ascii="Arial" w:cs="Arial" w:hAnsi="Arial"/>
          <w:color w:val="000000"/>
          <w:sz w:val="24"/>
          <w:szCs w:val="24"/>
          <w:vertAlign w:val="superscript"/>
          <w:lang w:val="sv-SE"/>
        </w:rPr>
        <w:footnoteReference w:id="7"/>
      </w:r>
      <w:r>
        <w:rPr>
          <w:rFonts w:ascii="Arial" w:cs="Arial" w:hAnsi="Arial"/>
          <w:color w:val="000000"/>
          <w:sz w:val="24"/>
          <w:szCs w:val="24"/>
          <w:lang w:val="id-ID" w:bidi="en-US"/>
        </w:rPr>
        <w:t xml:space="preserve">, dengan kombinasi pendekatan antara tipe yuridis normatif dan tipe yuridis empiris.  Penelitian ini bersifat </w:t>
      </w:r>
      <w:r>
        <w:rPr>
          <w:rFonts w:ascii="Arial" w:cs="Arial" w:hAnsi="Arial"/>
          <w:color w:val="000000"/>
          <w:sz w:val="24"/>
          <w:szCs w:val="24"/>
          <w:lang w:bidi="en-US"/>
        </w:rPr>
        <w:t>pr</w:t>
      </w:r>
      <w:r>
        <w:rPr>
          <w:rFonts w:ascii="Arial" w:cs="Arial" w:hAnsi="Arial"/>
          <w:color w:val="000000"/>
          <w:sz w:val="24"/>
          <w:szCs w:val="24"/>
          <w:lang w:val="id-ID" w:bidi="en-US"/>
        </w:rPr>
        <w:t xml:space="preserve">eskriptif analitis, mengungkapkan peraturan perundang-undangan yang berkaitan dengan </w:t>
      </w:r>
      <w:r>
        <w:rPr>
          <w:rFonts w:ascii="Arial" w:cs="Arial" w:hAnsi="Arial"/>
          <w:color w:val="000000"/>
          <w:sz w:val="24"/>
          <w:szCs w:val="24"/>
          <w:lang w:val="id-ID" w:bidi="en-US"/>
        </w:rPr>
        <w:t>pandangan teoritis yang menjadi objek penelitian.  Penelitian ini merupakan penelitian evaluatif</w:t>
      </w:r>
      <w:r>
        <w:rPr>
          <w:rFonts w:ascii="Arial" w:cs="Arial" w:hAnsi="Arial"/>
          <w:color w:val="000000"/>
          <w:sz w:val="24"/>
          <w:szCs w:val="24"/>
          <w:vertAlign w:val="superscript"/>
          <w:lang w:val="sv-SE"/>
        </w:rPr>
        <w:footnoteReference w:id="8"/>
      </w:r>
      <w:r>
        <w:rPr>
          <w:rFonts w:ascii="Arial" w:cs="Arial" w:hAnsi="Arial"/>
          <w:color w:val="000000"/>
          <w:sz w:val="24"/>
          <w:szCs w:val="24"/>
          <w:lang w:val="id-ID" w:bidi="en-US"/>
        </w:rPr>
        <w:t>, yang berhubungan dengan keputusan administratif terhadap aplikasi hasil penelitian.</w:t>
      </w:r>
    </w:p>
    <w:p>
      <w:pPr>
        <w:pStyle w:val="style0"/>
        <w:ind w:firstLine="720"/>
        <w:jc w:val="both"/>
        <w:rPr>
          <w:rFonts w:ascii="Arial" w:cs="Arial" w:hAnsi="Arial"/>
          <w:color w:val="000000"/>
          <w:sz w:val="24"/>
          <w:szCs w:val="24"/>
          <w:lang w:bidi="en-US"/>
        </w:rPr>
      </w:pPr>
      <w:r>
        <w:rPr>
          <w:rFonts w:ascii="Arial" w:cs="Arial" w:hAnsi="Arial"/>
          <w:color w:val="000000"/>
          <w:sz w:val="24"/>
          <w:szCs w:val="24"/>
          <w:lang w:val="id-ID" w:bidi="en-US"/>
        </w:rPr>
        <w:t>Sumber data primer penelitian ini berupa</w:t>
      </w:r>
      <w:r>
        <w:rPr>
          <w:rFonts w:ascii="Arial" w:cs="Arial" w:hAnsi="Arial"/>
          <w:color w:val="000000"/>
          <w:sz w:val="24"/>
          <w:szCs w:val="24"/>
          <w:lang w:val="sv-SE" w:bidi="en-US"/>
        </w:rPr>
        <w:t xml:space="preserve"> pengumpulan data dengan observasi</w:t>
      </w:r>
      <w:r>
        <w:rPr>
          <w:rFonts w:ascii="Arial" w:cs="Arial" w:hAnsi="Arial"/>
          <w:color w:val="000000"/>
          <w:sz w:val="24"/>
          <w:szCs w:val="24"/>
          <w:lang w:val="id-ID" w:bidi="en-US"/>
        </w:rPr>
        <w:t xml:space="preserve">, wawancara dengan Ketua Pengadilan, Panitera dan Hakim Pengawas, serta melaksanakan </w:t>
      </w:r>
      <w:r>
        <w:rPr>
          <w:rFonts w:ascii="Arial" w:cs="Arial" w:hAnsi="Arial"/>
          <w:i/>
          <w:color w:val="000000"/>
          <w:sz w:val="24"/>
          <w:szCs w:val="24"/>
          <w:lang w:val="id-ID" w:bidi="en-US"/>
        </w:rPr>
        <w:t>Focus Group Discussion</w:t>
      </w:r>
      <w:r>
        <w:rPr>
          <w:rFonts w:ascii="Arial" w:cs="Arial" w:hAnsi="Arial"/>
          <w:color w:val="000000"/>
          <w:sz w:val="24"/>
          <w:szCs w:val="24"/>
          <w:lang w:val="id-ID" w:bidi="en-US"/>
        </w:rPr>
        <w:t xml:space="preserve">, yang berkaitan dengan permasalahan penelitian ini.   </w:t>
      </w:r>
      <w:r>
        <w:rPr>
          <w:rFonts w:ascii="Arial" w:cs="Arial" w:hAnsi="Arial"/>
          <w:color w:val="000000"/>
          <w:sz w:val="24"/>
          <w:szCs w:val="24"/>
          <w:lang w:bidi="en-US"/>
        </w:rPr>
        <w:t xml:space="preserve">Observasi juga dilaksanakan pada beberapa perpustakaan dan beberapa situs internet internal MA dan eksternal yang berhubungan dengan permasalahan </w:t>
      </w:r>
      <w:r>
        <w:rPr>
          <w:rFonts w:ascii="Arial" w:cs="Arial" w:hAnsi="Arial"/>
          <w:color w:val="000000"/>
          <w:sz w:val="24"/>
          <w:szCs w:val="24"/>
          <w:lang w:val="id-ID" w:bidi="en-US"/>
        </w:rPr>
        <w:t>penelitian</w:t>
      </w:r>
      <w:r>
        <w:rPr>
          <w:rFonts w:ascii="Arial" w:cs="Arial" w:hAnsi="Arial"/>
          <w:color w:val="000000"/>
          <w:sz w:val="24"/>
          <w:szCs w:val="24"/>
          <w:lang w:bidi="en-US"/>
        </w:rPr>
        <w:t>.</w:t>
      </w:r>
      <w:r>
        <w:rPr>
          <w:rFonts w:ascii="Arial" w:cs="Arial" w:hAnsi="Arial"/>
          <w:color w:val="000000"/>
          <w:sz w:val="24"/>
          <w:szCs w:val="24"/>
          <w:lang w:val="id-ID" w:bidi="en-US"/>
        </w:rPr>
        <w:t xml:space="preserve"> </w:t>
      </w:r>
      <w:r>
        <w:rPr>
          <w:rFonts w:ascii="Arial" w:cs="Arial" w:hAnsi="Arial"/>
          <w:color w:val="000000"/>
          <w:sz w:val="24"/>
          <w:szCs w:val="24"/>
          <w:lang w:bidi="en-US"/>
        </w:rPr>
        <w:t xml:space="preserve"> </w:t>
      </w:r>
    </w:p>
    <w:p>
      <w:pPr>
        <w:pStyle w:val="style0"/>
        <w:ind w:firstLine="720"/>
        <w:jc w:val="both"/>
        <w:rPr>
          <w:rFonts w:ascii="Arial" w:cs="Arial" w:hAnsi="Arial"/>
          <w:color w:val="000000"/>
          <w:sz w:val="24"/>
          <w:szCs w:val="24"/>
          <w:lang w:val="id-ID" w:bidi="en-US"/>
        </w:rPr>
      </w:pPr>
      <w:r>
        <w:rPr>
          <w:rFonts w:ascii="Arial" w:cs="Arial" w:hAnsi="Arial"/>
          <w:color w:val="000000"/>
          <w:sz w:val="24"/>
          <w:szCs w:val="24"/>
          <w:lang w:val="id-ID" w:bidi="en-US"/>
        </w:rPr>
        <w:t>Untuk memperoleh data yang tepat, Pen</w:t>
      </w:r>
      <w:r>
        <w:rPr>
          <w:rFonts w:ascii="Arial" w:cs="Arial" w:hAnsi="Arial"/>
          <w:color w:val="000000"/>
          <w:sz w:val="24"/>
          <w:szCs w:val="24"/>
          <w:lang w:bidi="en-US"/>
        </w:rPr>
        <w:t>ulis</w:t>
      </w:r>
      <w:r>
        <w:rPr>
          <w:rFonts w:ascii="Arial" w:cs="Arial" w:hAnsi="Arial"/>
          <w:color w:val="000000"/>
          <w:sz w:val="24"/>
          <w:szCs w:val="24"/>
          <w:lang w:val="id-ID" w:bidi="en-US"/>
        </w:rPr>
        <w:t xml:space="preserve"> terlebih dahulu melaksanakan penelusuran dokumentasi yang berkaitan dengan perkara kasasi pada situs internet dan perpustakaan,  penelusuran ini menempati posisi yang sangat penting dalam penelitian. Setelah  tahapan tersebut dilaksanakan, selanjutnya melakukan riset lapangan dengan mengunjungi beberapa institusi yang berhubungan langsung dengan penyelesaian perkara kasasi, yakni Biro Umum Sekretariat MA, Kepaniteraan MA dan Pengadilan Tingkat pertama sebagai instansi pengaju dan Pengadilan Tingkat Banding di wilayah Jakarta, Bogor, Depok, Bekasi, Cibinong dan Karawang.   </w:t>
      </w:r>
    </w:p>
    <w:p>
      <w:pPr>
        <w:pStyle w:val="style0"/>
        <w:ind w:firstLine="720"/>
        <w:jc w:val="both"/>
        <w:rPr>
          <w:rFonts w:ascii="Arial" w:cs="Arial" w:hAnsi="Arial"/>
          <w:color w:val="000000"/>
          <w:sz w:val="24"/>
          <w:szCs w:val="24"/>
          <w:lang w:val="id-ID" w:bidi="en-US"/>
        </w:rPr>
      </w:pPr>
      <w:r>
        <w:rPr>
          <w:rFonts w:ascii="Arial" w:cs="Arial" w:hAnsi="Arial"/>
          <w:color w:val="000000"/>
          <w:sz w:val="24"/>
          <w:szCs w:val="24"/>
          <w:lang w:val="id-ID" w:bidi="en-US"/>
        </w:rPr>
        <w:t>Sumber data sekunder penelitian ini diperoleh dari dokumen resmi, laporan tahunan institusi, kertas kerja institusi, laporan hasil penelitian yang berkaitan dengan perkara kasasi serta buku-buku yang membahas manajemen,  organisasi, hukum dan teori kebijakan publik.</w:t>
      </w:r>
    </w:p>
    <w:p>
      <w:pPr>
        <w:pStyle w:val="style0"/>
        <w:spacing w:before="120"/>
        <w:ind w:firstLine="567"/>
        <w:jc w:val="both"/>
        <w:rPr>
          <w:rFonts w:ascii="Arial" w:cs="Arial" w:hAnsi="Arial"/>
          <w:color w:val="000000"/>
          <w:sz w:val="24"/>
          <w:szCs w:val="24"/>
          <w:lang w:bidi="en-US"/>
        </w:rPr>
      </w:pPr>
    </w:p>
    <w:p>
      <w:pPr>
        <w:pStyle w:val="style0"/>
        <w:spacing w:before="120"/>
        <w:jc w:val="both"/>
        <w:rPr>
          <w:rFonts w:ascii="Arial" w:cs="Arial" w:hAnsi="Arial"/>
          <w:bCs/>
          <w:sz w:val="24"/>
          <w:szCs w:val="24"/>
          <w:lang w:val="id-ID"/>
        </w:rPr>
      </w:pPr>
    </w:p>
    <w:p>
      <w:pPr>
        <w:pStyle w:val="style0"/>
        <w:spacing w:before="120"/>
        <w:jc w:val="both"/>
        <w:rPr>
          <w:rFonts w:ascii="Arial" w:cs="Arial" w:hAnsi="Arial"/>
          <w:bCs/>
          <w:sz w:val="24"/>
          <w:szCs w:val="24"/>
          <w:lang w:val="id-ID"/>
        </w:rPr>
      </w:pPr>
    </w:p>
    <w:p>
      <w:pPr>
        <w:pStyle w:val="style0"/>
        <w:spacing w:before="120"/>
        <w:jc w:val="both"/>
        <w:rPr>
          <w:rFonts w:ascii="Arial" w:cs="Arial" w:hAnsi="Arial"/>
          <w:bCs/>
          <w:sz w:val="24"/>
          <w:szCs w:val="24"/>
          <w:lang w:val="id-ID"/>
        </w:rPr>
      </w:pPr>
    </w:p>
    <w:p>
      <w:pPr>
        <w:pStyle w:val="style0"/>
        <w:spacing w:before="120"/>
        <w:jc w:val="both"/>
        <w:rPr>
          <w:rFonts w:ascii="Arial" w:cs="Arial" w:hAnsi="Arial"/>
          <w:bCs/>
          <w:sz w:val="24"/>
          <w:szCs w:val="24"/>
          <w:lang w:val="id-ID"/>
        </w:rPr>
      </w:pPr>
    </w:p>
    <w:bookmarkStart w:id="1" w:name="_Hlk68852929"/>
    <w:p>
      <w:pPr>
        <w:pStyle w:val="style0"/>
        <w:jc w:val="center"/>
        <w:rPr>
          <w:rFonts w:ascii="Arial" w:cs="Arial" w:hAnsi="Arial"/>
          <w:b/>
          <w:sz w:val="24"/>
          <w:szCs w:val="26"/>
          <w:lang w:val="en-GB"/>
        </w:rPr>
      </w:pPr>
      <w:r>
        <w:rPr>
          <w:rFonts w:ascii="Arial" w:cs="Arial" w:hAnsi="Arial"/>
          <w:b/>
          <w:sz w:val="24"/>
          <w:szCs w:val="26"/>
          <w:lang w:val="id-ID"/>
        </w:rPr>
        <w:t>PEMBAHASAN</w:t>
      </w:r>
    </w:p>
    <w:bookmarkEnd w:id="1"/>
    <w:p>
      <w:pPr>
        <w:pStyle w:val="style0"/>
        <w:ind w:firstLine="567"/>
        <w:jc w:val="both"/>
        <w:rPr>
          <w:rFonts w:ascii="Arial" w:cs="Arial" w:hAnsi="Arial"/>
          <w:color w:val="000000"/>
          <w:sz w:val="24"/>
          <w:szCs w:val="24"/>
        </w:rPr>
      </w:pPr>
    </w:p>
    <w:p>
      <w:pPr>
        <w:pStyle w:val="style0"/>
        <w:ind w:firstLine="567"/>
        <w:jc w:val="both"/>
        <w:rPr>
          <w:rFonts w:ascii="Arial" w:cs="Arial" w:hAnsi="Arial"/>
          <w:color w:val="000000"/>
          <w:sz w:val="24"/>
          <w:szCs w:val="24"/>
        </w:rPr>
      </w:pPr>
      <w:r>
        <w:rPr>
          <w:rFonts w:ascii="Arial" w:cs="Arial" w:hAnsi="Arial"/>
          <w:color w:val="000000"/>
          <w:sz w:val="24"/>
          <w:szCs w:val="24"/>
        </w:rPr>
        <w:t xml:space="preserve">Undang-Undang Nomor 48 Tahun 2009 tentang Kekuasaan Kehakiman </w:t>
      </w:r>
      <w:r>
        <w:rPr>
          <w:rFonts w:ascii="Arial" w:cs="Arial" w:hAnsi="Arial"/>
          <w:color w:val="000000"/>
          <w:sz w:val="24"/>
          <w:szCs w:val="24"/>
        </w:rPr>
        <w:t xml:space="preserve">menyebutkan peradilan dilaksanakan dengan sederhana, cepat dan biaya ringan (pasal 2 ayat 4).  Hal tersebut merupakan asas mendasar dalam pelaksanaan dan pelayanan administrasi peradilan yang mengarah pada prinsip kerja yang efektif dan efisien.  Asas tersebut harus diterapkan melalui program pembaruan peradilan, terutama sektor manajemen dan administrasi peradilan.   Memperbaharui, memotong jalur prosedur pada instansi pengaju di daerah dan instansi penerima di pusat, merupakan penerapan asas </w:t>
      </w:r>
      <w:r>
        <w:rPr>
          <w:rFonts w:ascii="Arial" w:cs="Arial" w:hAnsi="Arial"/>
          <w:i/>
          <w:color w:val="000000"/>
          <w:sz w:val="24"/>
          <w:szCs w:val="24"/>
        </w:rPr>
        <w:t>sederhana</w:t>
      </w:r>
      <w:r>
        <w:rPr>
          <w:rFonts w:ascii="Arial" w:cs="Arial" w:hAnsi="Arial"/>
          <w:color w:val="000000"/>
          <w:sz w:val="24"/>
          <w:szCs w:val="24"/>
        </w:rPr>
        <w:t xml:space="preserve">  dan percepatan penyelesaian perkara dari batas waktu maksimal yang ditentukan dan pengurangan tunggakan perkara merupakan penerapan asas </w:t>
      </w:r>
      <w:r>
        <w:rPr>
          <w:rFonts w:ascii="Arial" w:cs="Arial" w:hAnsi="Arial"/>
          <w:i/>
          <w:color w:val="000000"/>
          <w:sz w:val="24"/>
          <w:szCs w:val="24"/>
        </w:rPr>
        <w:t>cepat</w:t>
      </w:r>
      <w:r>
        <w:rPr>
          <w:rFonts w:ascii="Arial" w:cs="Arial" w:hAnsi="Arial"/>
          <w:color w:val="000000"/>
          <w:sz w:val="24"/>
          <w:szCs w:val="24"/>
        </w:rPr>
        <w:t xml:space="preserve">, memperpendek rantai birokrasi dan penggunaan teknologi informasi dalam proses pengajuan perkara merupakan penerapan asas </w:t>
      </w:r>
      <w:r>
        <w:rPr>
          <w:rFonts w:ascii="Arial" w:cs="Arial" w:hAnsi="Arial"/>
          <w:i/>
          <w:color w:val="000000"/>
          <w:sz w:val="24"/>
          <w:szCs w:val="24"/>
        </w:rPr>
        <w:t>biaya ringan</w:t>
      </w:r>
      <w:r>
        <w:rPr>
          <w:rFonts w:ascii="Arial" w:cs="Arial" w:hAnsi="Arial"/>
          <w:color w:val="000000"/>
          <w:sz w:val="24"/>
          <w:szCs w:val="24"/>
        </w:rPr>
        <w:t>.</w:t>
      </w:r>
    </w:p>
    <w:p>
      <w:pPr>
        <w:pStyle w:val="style0"/>
        <w:ind w:firstLine="567"/>
        <w:jc w:val="both"/>
        <w:rPr>
          <w:rFonts w:ascii="Arial" w:cs="Arial" w:hAnsi="Arial"/>
          <w:color w:val="000000"/>
          <w:sz w:val="24"/>
          <w:szCs w:val="24"/>
        </w:rPr>
      </w:pPr>
      <w:r>
        <w:rPr>
          <w:rFonts w:ascii="Arial" w:cs="Arial" w:hAnsi="Arial"/>
          <w:sz w:val="24"/>
          <w:szCs w:val="24"/>
        </w:rPr>
        <w:t>Kasasi merupakan bagian dari suatu upaya hukum biasa oleh para pencari keadilan, upaya hukum ini dapat diminta dan ditempuh oleh satu atau dua pihak yang berperkara, atas terjadinya suatu putusan Pengadilan Tinggi. Perkara tersebut dapat berjenis pidana, perdata, tata usaha negara, agama dan militer.  Para pihak dapat mengajukan kasasi bila merasa tidak puas dengan isi putusan Pengadilan Tinggi kepada Mahkamah Agung.</w:t>
      </w:r>
    </w:p>
    <w:p>
      <w:pPr>
        <w:pStyle w:val="style0"/>
        <w:ind w:firstLine="567"/>
        <w:jc w:val="both"/>
        <w:rPr>
          <w:rFonts w:ascii="Arial" w:cs="Arial" w:hAnsi="Arial"/>
          <w:color w:val="000000"/>
          <w:sz w:val="24"/>
          <w:szCs w:val="24"/>
        </w:rPr>
      </w:pPr>
      <w:r>
        <w:rPr>
          <w:rFonts w:ascii="Arial" w:cs="Arial" w:hAnsi="Arial"/>
          <w:color w:val="000000"/>
          <w:sz w:val="24"/>
          <w:szCs w:val="24"/>
        </w:rPr>
        <w:t xml:space="preserve">Membatalkan putusan pengadilan dari tingkat pengadilan terakhir, dalam hal ini Pengadilan Tinggi, ketika satu pihak merasa ada putusan Hakim yang bertentangan dengan hukum, maka upaya tersebut harus ditempuh dengan upaya kasasi kecuali putusan dalam perkara pidana yang mengandung pembebasan terdakwa dari segala tuduhan. </w:t>
      </w:r>
    </w:p>
    <w:p>
      <w:pPr>
        <w:pStyle w:val="style0"/>
        <w:ind w:left="426"/>
        <w:jc w:val="both"/>
        <w:rPr>
          <w:rFonts w:ascii="Arial" w:cs="Arial" w:hAnsi="Arial"/>
          <w:color w:val="000000"/>
          <w:sz w:val="24"/>
          <w:szCs w:val="24"/>
        </w:rPr>
      </w:pPr>
      <w:r>
        <w:rPr>
          <w:rFonts w:ascii="Arial" w:cs="Arial" w:hAnsi="Arial"/>
          <w:color w:val="000000"/>
          <w:sz w:val="24"/>
          <w:szCs w:val="24"/>
        </w:rPr>
        <w:t xml:space="preserve">Kasasi dalam perkara pidana diajukan oleh jaksa penuntut umum (JPU) dan pihak terdakwa. Bagi penuntut umum upaya hukum kasasi tidak hanya sekedar permasalahan penerapan hukum saja yang menjadi dasar pertimbangan pengajuannya, tetapi terdapat masalah penilaian kinerja seorang JPU yang tidak baik apabila sebuah perkara tidak diajukan hingga ke kasasi. Alasan tersebut mengakibatkan banyaknya pengajuan kasasi yang dilakukan oleh  JPU  ke Mahkamah Agung, meskipun sebagian </w:t>
      </w:r>
      <w:r>
        <w:rPr>
          <w:rFonts w:ascii="Arial" w:cs="Arial" w:hAnsi="Arial"/>
          <w:color w:val="000000"/>
          <w:sz w:val="24"/>
          <w:szCs w:val="24"/>
        </w:rPr>
        <w:t>besar ditolak. Bagi  JPU, pengajuan upaya hukum kasasi merupakan pelaksanaan dari kebijakan penuntutan yang telah ditentukan oleh pimpinan Kejaksaan. Undang-Undang secara tegas melarang kasasi atas putusan bebas,  tetapi  dalam praktik seringkali diajukan oleh  JPU. Pada saat ini, mengajukan kasasi terhadap putusan bebas telah disahkan oleh Mahkamah Konstitusi, sehingga pembatasan terhadap putusan bebas menjadi tidak berlaku. Kasasi umumnya diajukan oleh  JPU  yang menangani perkara sejak tingkat pertama, kecuali terdapat penunjukan baru dari pimpinan Kejaksaan.</w:t>
      </w:r>
    </w:p>
    <w:p>
      <w:pPr>
        <w:pStyle w:val="style0"/>
        <w:ind w:left="426"/>
        <w:jc w:val="both"/>
        <w:rPr>
          <w:rFonts w:ascii="Arial" w:cs="Arial" w:hAnsi="Arial"/>
          <w:color w:val="000000"/>
          <w:sz w:val="24"/>
          <w:szCs w:val="24"/>
        </w:rPr>
      </w:pPr>
      <w:r>
        <w:rPr>
          <w:rFonts w:ascii="Arial" w:cs="Arial" w:hAnsi="Arial"/>
          <w:color w:val="000000"/>
          <w:sz w:val="24"/>
          <w:szCs w:val="24"/>
        </w:rPr>
        <w:t>Kasasi perkara pidana maupun perdata yang diajukan oleh para pihak yang diwakili oleh Advokat umumnya memiliki permasalahan yang sama dengan JPU. JPU yang tidak mengajukan kasasi umumnya akan mendapatkan penilaian kinerja yang tidak baik, karena dinilai tidak maksimal dalam menjalankan tugas penuntutannya. Kondisi ini tidak berbeda jauh dengan Advokat. Mahkamah Agung tidak memberikan kualifikasi khusus bagi Advokat yang akan berpekara pada tingkat kasasi. Hal ini berimbas pada jumlah pengajuan perkara kasasi yang banyak setiap tahun. Ketiadaan kualifikasi khusus bagi Advokat mengakibatkan banyaknya permohonan kasasi yang cenderung dianggap sebagai peradilan tingkat ketiga, yang artinya kasasi dipahami sebagai pengadilan fakta (judex factie).</w:t>
      </w:r>
      <w:r>
        <w:rPr>
          <w:rFonts w:ascii="Arial" w:cs="Arial" w:hAnsi="Arial"/>
          <w:sz w:val="22"/>
          <w:szCs w:val="22"/>
          <w:vertAlign w:val="superscript"/>
          <w:lang w:val="sv-SE"/>
        </w:rPr>
        <w:footnoteReference w:id="9"/>
      </w:r>
      <w:r>
        <w:rPr>
          <w:rFonts w:ascii="Arial" w:cs="Arial" w:hAnsi="Arial"/>
          <w:color w:val="000000"/>
          <w:sz w:val="24"/>
          <w:szCs w:val="24"/>
        </w:rPr>
        <w:t xml:space="preserve">     </w:t>
      </w:r>
    </w:p>
    <w:p>
      <w:pPr>
        <w:pStyle w:val="style0"/>
        <w:ind w:left="426"/>
        <w:jc w:val="both"/>
        <w:rPr>
          <w:rFonts w:ascii="Arial" w:cs="Arial" w:hAnsi="Arial"/>
          <w:color w:val="000000"/>
          <w:sz w:val="24"/>
          <w:szCs w:val="24"/>
        </w:rPr>
      </w:pPr>
    </w:p>
    <w:p>
      <w:pPr>
        <w:pStyle w:val="style0"/>
        <w:ind w:firstLine="567"/>
        <w:jc w:val="both"/>
        <w:rPr>
          <w:rFonts w:ascii="Arial" w:cs="Arial" w:hAnsi="Arial"/>
          <w:color w:val="000000"/>
          <w:sz w:val="24"/>
          <w:szCs w:val="24"/>
        </w:rPr>
      </w:pPr>
      <w:r>
        <w:rPr>
          <w:rFonts w:ascii="Arial" w:cs="Arial" w:hAnsi="Arial"/>
          <w:color w:val="000000"/>
          <w:sz w:val="24"/>
          <w:szCs w:val="24"/>
        </w:rPr>
        <w:t>Pihak yang bersangkutan dapat mengajukan kasasi bila merasa tidak puas dengan isi putusan pengadilan tinggi kepada mahkamah agung. Sama seperti banding, kasasi juga memilki tenggang waktu 14 hari sejak tanggal putusan itu dikeluarkan dan diajukan kepada mahkamah agung melalui pengadilan tingkat pertama yang memutuskan perkara tersebut.</w:t>
      </w:r>
    </w:p>
    <w:p>
      <w:pPr>
        <w:pStyle w:val="style0"/>
        <w:ind w:left="426"/>
        <w:jc w:val="both"/>
        <w:rPr>
          <w:rFonts w:ascii="Arial" w:cs="Arial" w:hAnsi="Arial"/>
          <w:color w:val="000000"/>
          <w:sz w:val="24"/>
          <w:szCs w:val="24"/>
          <w:vertAlign w:val="superscript"/>
          <w:lang w:val="sv-SE"/>
        </w:rPr>
      </w:pPr>
      <w:r>
        <w:rPr>
          <w:rFonts w:ascii="Arial" w:cs="Arial" w:hAnsi="Arial"/>
          <w:color w:val="000000"/>
          <w:sz w:val="24"/>
          <w:szCs w:val="24"/>
        </w:rPr>
        <w:t>kasasi/ka·sa·si/ n Huk pembatalan atau pernyataan tidak sah oleh Mahkamah Agung terhadap putusan hakim karena putusan itu menyalahi atau tidak sesuai dengan undang-undang: kekuasaan hak -- hanyalah hak kekuasaan Mahkamah Agung.</w:t>
      </w:r>
      <w:r>
        <w:rPr>
          <w:rFonts w:ascii="Arial" w:cs="Arial" w:hAnsi="Arial"/>
          <w:color w:val="000000"/>
          <w:sz w:val="24"/>
          <w:szCs w:val="24"/>
          <w:vertAlign w:val="superscript"/>
          <w:lang w:val="sv-SE"/>
        </w:rPr>
        <w:footnoteReference w:id="10"/>
      </w:r>
      <w:r>
        <w:rPr>
          <w:rFonts w:ascii="Arial" w:cs="Arial" w:hAnsi="Arial"/>
          <w:color w:val="000000"/>
          <w:sz w:val="24"/>
          <w:szCs w:val="24"/>
          <w:vertAlign w:val="superscript"/>
          <w:lang w:val="sv-SE"/>
        </w:rPr>
        <w:t xml:space="preserve"> </w:t>
      </w:r>
    </w:p>
    <w:p>
      <w:pPr>
        <w:pStyle w:val="style0"/>
        <w:jc w:val="both"/>
        <w:rPr>
          <w:rFonts w:ascii="Arial" w:cs="Arial" w:hAnsi="Arial"/>
          <w:color w:val="000000"/>
          <w:sz w:val="24"/>
          <w:szCs w:val="24"/>
          <w:lang w:val="id-ID"/>
        </w:rPr>
      </w:pPr>
    </w:p>
    <w:p>
      <w:pPr>
        <w:pStyle w:val="style0"/>
        <w:spacing w:after="200"/>
        <w:jc w:val="both"/>
        <w:rPr>
          <w:rFonts w:ascii="Arial" w:cs="Arial" w:hAnsi="Arial"/>
          <w:b/>
          <w:color w:val="000000"/>
          <w:sz w:val="24"/>
          <w:szCs w:val="24"/>
          <w:lang w:val="id-ID"/>
        </w:rPr>
      </w:pPr>
      <w:r>
        <w:rPr>
          <w:rFonts w:ascii="Arial" w:cs="Arial" w:hAnsi="Arial"/>
          <w:b/>
          <w:color w:val="000000"/>
          <w:sz w:val="24"/>
          <w:szCs w:val="24"/>
          <w:lang w:val="id-ID"/>
        </w:rPr>
        <w:t>Penyelesaian Perkara Kasasi</w:t>
      </w:r>
      <w:r>
        <w:rPr>
          <w:rFonts w:ascii="Arial" w:cs="Arial" w:hAnsi="Arial"/>
          <w:b/>
          <w:color w:val="000000"/>
          <w:sz w:val="24"/>
          <w:szCs w:val="24"/>
        </w:rPr>
        <w:t xml:space="preserve"> dari Segi Prosedur</w:t>
      </w:r>
      <w:r>
        <w:rPr>
          <w:rFonts w:ascii="Arial" w:cs="Arial" w:hAnsi="Arial"/>
          <w:b/>
          <w:color w:val="000000"/>
          <w:sz w:val="24"/>
          <w:szCs w:val="24"/>
        </w:rPr>
        <w:t xml:space="preserve"> dan</w:t>
      </w:r>
      <w:r>
        <w:rPr>
          <w:rFonts w:ascii="Arial" w:cs="Arial" w:hAnsi="Arial"/>
          <w:b/>
          <w:color w:val="000000"/>
          <w:sz w:val="24"/>
          <w:szCs w:val="24"/>
        </w:rPr>
        <w:t xml:space="preserve"> Waktu</w:t>
      </w:r>
    </w:p>
    <w:p>
      <w:pPr>
        <w:pStyle w:val="style0"/>
        <w:numPr>
          <w:ilvl w:val="0"/>
          <w:numId w:val="8"/>
        </w:numPr>
        <w:spacing w:after="200"/>
        <w:ind w:left="426"/>
        <w:jc w:val="both"/>
        <w:contextualSpacing/>
        <w:rPr>
          <w:rFonts w:ascii="Arial" w:cs="Arial" w:hAnsi="Arial"/>
          <w:b/>
          <w:color w:val="000000"/>
          <w:sz w:val="24"/>
          <w:szCs w:val="24"/>
        </w:rPr>
      </w:pPr>
      <w:r>
        <w:rPr>
          <w:rFonts w:ascii="Arial" w:cs="Arial" w:hAnsi="Arial"/>
          <w:b/>
          <w:color w:val="000000"/>
          <w:sz w:val="24"/>
          <w:szCs w:val="24"/>
        </w:rPr>
        <w:t>Prosedur Pengajuan Kasasi</w:t>
      </w:r>
    </w:p>
    <w:p>
      <w:pPr>
        <w:pStyle w:val="style0"/>
        <w:ind w:firstLine="720"/>
        <w:jc w:val="both"/>
        <w:rPr>
          <w:rFonts w:ascii="Arial" w:cs="Arial" w:hAnsi="Arial"/>
          <w:color w:val="000000"/>
          <w:sz w:val="24"/>
          <w:szCs w:val="24"/>
        </w:rPr>
      </w:pPr>
      <w:r>
        <w:rPr>
          <w:rFonts w:ascii="Arial" w:cs="Arial" w:hAnsi="Arial"/>
          <w:color w:val="000000"/>
          <w:sz w:val="24"/>
          <w:szCs w:val="24"/>
        </w:rPr>
        <w:t>Untuk mengajukan upaya hukum kasasi, telah ditentukan secara umum ketentuannya, alasan pengajuan kasasi, prosedur pengajuan permohonan kasasi, pencabutan permohonan kasasi, sistem pemeriksaan kasasi, seperti yang dipaparkan dibawah ini, menurut pasal 43 – pasal 55 Undang-Undang Nomor 14 Tahun 1985 tentang Mahkamah Agung R.I., antara lain:</w:t>
      </w:r>
    </w:p>
    <w:p>
      <w:pPr>
        <w:pStyle w:val="style0"/>
        <w:numPr>
          <w:ilvl w:val="0"/>
          <w:numId w:val="9"/>
        </w:numPr>
        <w:spacing w:after="200"/>
        <w:ind w:left="426"/>
        <w:jc w:val="both"/>
        <w:contextualSpacing/>
        <w:rPr>
          <w:rFonts w:ascii="Arial" w:cs="Arial" w:hAnsi="Arial"/>
          <w:color w:val="000000"/>
          <w:sz w:val="24"/>
          <w:szCs w:val="24"/>
        </w:rPr>
      </w:pPr>
      <w:r>
        <w:rPr>
          <w:rFonts w:ascii="Arial" w:cs="Arial" w:hAnsi="Arial"/>
          <w:color w:val="000000"/>
          <w:sz w:val="24"/>
          <w:szCs w:val="24"/>
        </w:rPr>
        <w:t>Umum:  Permohonan kasasi dapat diajukan hanya jika pemohon terhadap perkaranya telah menggunakan upaya hukum banding kecuali ditentukan lain oleh Undang-</w:t>
      </w:r>
      <w:r>
        <w:rPr>
          <w:rFonts w:ascii="Arial" w:cs="Arial" w:hAnsi="Arial"/>
          <w:color w:val="000000"/>
          <w:sz w:val="24"/>
          <w:szCs w:val="24"/>
          <w:lang w:val="id-ID"/>
        </w:rPr>
        <w:t>U</w:t>
      </w:r>
      <w:r>
        <w:rPr>
          <w:rFonts w:ascii="Arial" w:cs="Arial" w:hAnsi="Arial"/>
          <w:color w:val="000000"/>
          <w:sz w:val="24"/>
          <w:szCs w:val="24"/>
        </w:rPr>
        <w:t>ndang; Permohonan kasasi dapat diajukan hanya 1 (satu) kali; Permohonan kasasi dapat diajukan oleh: pihak yang berperkara atau wakilnya yang secara khusus dikuasakan untuk itu dalam perkara perdata atau perkara tata usaha negara yang diperiksa dan diputus oleh Pengadilan Tingkat Banding atau Tingkat Terakhir di Lingkungan Pe</w:t>
      </w:r>
      <w:r>
        <w:rPr>
          <w:rFonts w:ascii="Arial" w:cs="Arial" w:hAnsi="Arial"/>
          <w:color w:val="000000"/>
          <w:sz w:val="24"/>
          <w:szCs w:val="24"/>
        </w:rPr>
        <w:t>®ng</w:t>
      </w:r>
      <w:r>
        <w:rPr>
          <w:rFonts w:ascii="Arial" w:cs="Arial" w:hAnsi="Arial"/>
          <w:color w:val="000000"/>
          <w:sz w:val="24"/>
          <w:szCs w:val="24"/>
        </w:rPr>
        <w:t xml:space="preserve">adilan Umum, Lingkungan Peradilan Agama, dan Lingkungan Peradilan Tata Usaha Negara; Terdakwa atau wakilnya yang secara khusus dikuasakan untuk itu atau Penuntut Umum atau Oditur dalam perkara pidana yang diperiksa dan diputus oleh Pengadilan Tingkat Banding atau Tingkat Terakhir di Lingkungan </w:t>
      </w:r>
      <w:r>
        <w:rPr>
          <w:rFonts w:ascii="Arial" w:cs="Arial" w:hAnsi="Arial"/>
          <w:color w:val="000000"/>
          <w:sz w:val="24"/>
          <w:szCs w:val="24"/>
        </w:rPr>
        <w:t>Pe®ngadilan</w:t>
      </w:r>
      <w:r>
        <w:rPr>
          <w:rFonts w:ascii="Arial" w:cs="Arial" w:hAnsi="Arial"/>
          <w:color w:val="000000"/>
          <w:sz w:val="24"/>
          <w:szCs w:val="24"/>
        </w:rPr>
        <w:t xml:space="preserve"> Umum dan Lingkungan </w:t>
      </w:r>
      <w:r>
        <w:rPr>
          <w:rFonts w:ascii="Arial" w:cs="Arial" w:hAnsi="Arial"/>
          <w:color w:val="000000"/>
          <w:sz w:val="24"/>
          <w:szCs w:val="24"/>
        </w:rPr>
        <w:t>Pe®ngadilan</w:t>
      </w:r>
      <w:r>
        <w:rPr>
          <w:rFonts w:ascii="Arial" w:cs="Arial" w:hAnsi="Arial"/>
          <w:color w:val="000000"/>
          <w:sz w:val="24"/>
          <w:szCs w:val="24"/>
        </w:rPr>
        <w:t xml:space="preserve"> Militer. Permohonan kasasi demi kepentingan hukum dapat diajukan oleh Jaksa Agung karena jabatannya dalam perkara perdata atau tata usaha negara yang diperiksa dan diputus oleh </w:t>
      </w:r>
      <w:r>
        <w:rPr>
          <w:rFonts w:ascii="Arial" w:cs="Arial" w:hAnsi="Arial"/>
          <w:color w:val="000000"/>
          <w:sz w:val="24"/>
          <w:szCs w:val="24"/>
        </w:rPr>
        <w:t xml:space="preserve">Pengadilan Tingkat Pertama atau Pengadilan Tingkat Banding di Lingkungan </w:t>
      </w:r>
      <w:r>
        <w:rPr>
          <w:rFonts w:ascii="Arial" w:cs="Arial" w:hAnsi="Arial"/>
          <w:color w:val="000000"/>
          <w:sz w:val="24"/>
          <w:szCs w:val="24"/>
        </w:rPr>
        <w:t>Pe®ngadilan</w:t>
      </w:r>
      <w:r>
        <w:rPr>
          <w:rFonts w:ascii="Arial" w:cs="Arial" w:hAnsi="Arial"/>
          <w:color w:val="000000"/>
          <w:sz w:val="24"/>
          <w:szCs w:val="24"/>
        </w:rPr>
        <w:t xml:space="preserve"> Umum, </w:t>
      </w:r>
      <w:r>
        <w:rPr>
          <w:rFonts w:ascii="Arial" w:cs="Arial" w:hAnsi="Arial"/>
          <w:color w:val="000000"/>
          <w:sz w:val="24"/>
          <w:szCs w:val="24"/>
        </w:rPr>
        <w:t>Pe®ngadilan</w:t>
      </w:r>
      <w:r>
        <w:rPr>
          <w:rFonts w:ascii="Arial" w:cs="Arial" w:hAnsi="Arial"/>
          <w:color w:val="000000"/>
          <w:sz w:val="24"/>
          <w:szCs w:val="24"/>
        </w:rPr>
        <w:t xml:space="preserve"> Agama dan </w:t>
      </w:r>
      <w:r>
        <w:rPr>
          <w:rFonts w:ascii="Arial" w:cs="Arial" w:hAnsi="Arial"/>
          <w:color w:val="000000"/>
          <w:sz w:val="24"/>
          <w:szCs w:val="24"/>
        </w:rPr>
        <w:t>Pe®ngadilan</w:t>
      </w:r>
      <w:r>
        <w:rPr>
          <w:rFonts w:ascii="Arial" w:cs="Arial" w:hAnsi="Arial"/>
          <w:color w:val="000000"/>
          <w:sz w:val="24"/>
          <w:szCs w:val="24"/>
        </w:rPr>
        <w:t xml:space="preserve"> Tata Usaha Negara; Putusan kasasi  demi kepentingan  hukum  tidak  boleh  merugikan  pihak  yang berperkara.</w:t>
      </w:r>
    </w:p>
    <w:p>
      <w:pPr>
        <w:pStyle w:val="style0"/>
        <w:numPr>
          <w:ilvl w:val="0"/>
          <w:numId w:val="9"/>
        </w:numPr>
        <w:spacing w:after="200"/>
        <w:ind w:left="426"/>
        <w:jc w:val="both"/>
        <w:contextualSpacing/>
        <w:rPr>
          <w:rFonts w:ascii="Arial" w:cs="Arial" w:hAnsi="Arial"/>
          <w:color w:val="000000"/>
          <w:sz w:val="24"/>
          <w:szCs w:val="24"/>
        </w:rPr>
      </w:pPr>
      <w:r>
        <w:rPr>
          <w:rFonts w:ascii="Arial" w:cs="Arial" w:hAnsi="Arial"/>
          <w:color w:val="000000"/>
          <w:sz w:val="24"/>
          <w:szCs w:val="24"/>
        </w:rPr>
        <w:t xml:space="preserve">Alasan Kasasi: Mahkamah   Agung   dalam   tingkat  kasasi   membatalkan   putusan   atau   penetapan Pengadilan-pengadilan dari semua Lingkungan </w:t>
      </w:r>
      <w:r>
        <w:rPr>
          <w:rFonts w:ascii="Arial" w:cs="Arial" w:hAnsi="Arial"/>
          <w:color w:val="000000"/>
          <w:sz w:val="24"/>
          <w:szCs w:val="24"/>
        </w:rPr>
        <w:t>Pe®ngadilan</w:t>
      </w:r>
      <w:r>
        <w:rPr>
          <w:rFonts w:ascii="Arial" w:cs="Arial" w:hAnsi="Arial"/>
          <w:color w:val="000000"/>
          <w:sz w:val="24"/>
          <w:szCs w:val="24"/>
        </w:rPr>
        <w:t xml:space="preserve"> karena: tidak berwenang atau melampaui batas wewenang; salah menerapkan atau melanggar hukum yang berlaku; lalai  memenuhi  syarat-syarat  yang  diwajibkan  oleh  peraturan  perundang- undangan yang mengancam kelalaian itu dengan batalnya putusan yang bersangkutan.</w:t>
      </w:r>
    </w:p>
    <w:p>
      <w:pPr>
        <w:pStyle w:val="style0"/>
        <w:numPr>
          <w:ilvl w:val="0"/>
          <w:numId w:val="9"/>
        </w:numPr>
        <w:spacing w:after="200"/>
        <w:ind w:left="426"/>
        <w:jc w:val="both"/>
        <w:contextualSpacing/>
        <w:rPr>
          <w:rFonts w:ascii="Arial" w:cs="Arial" w:hAnsi="Arial"/>
          <w:color w:val="000000"/>
          <w:sz w:val="24"/>
          <w:szCs w:val="24"/>
        </w:rPr>
      </w:pPr>
      <w:r>
        <w:rPr>
          <w:rFonts w:ascii="Arial" w:cs="Arial" w:hAnsi="Arial"/>
          <w:spacing w:val="-6"/>
          <w:sz w:val="24"/>
          <w:szCs w:val="24"/>
          <w:lang w:eastAsia="id-ID"/>
        </w:rPr>
        <w:t xml:space="preserve">Prosedur Pengajuan Permohonan Kasasi: Permohonan kasasi dalam  perkara perdata disampaikan  secara  tertulis  atau lisan melalui Panitera Pengadilan Tingkat Pertama yang telah memutus perkaranya, dalam tenggang waktu 14 (empat belas) hari sesudah putusan atau penetapan Pengadilan yang dimaksudkan diberitahukan kepada pemohon; Apabila tenggang waktu 14 (empat belas) hari tersebut telah lewat tanpa ada permohonan kasasi yang diajukan oleh pihak berperkara, maka pihak yang berperkara dianggap telah menerima putusan; Setelah pemohon membayar biaya perkara, Panitera mencatat permohonan kasasi dalam buku daftar, dan pada hari itu juga membuat akta permohonan kasasi yang dilampirkan pada berkas perkara; Selambat-lambatnya  dalam  waktu  7  (tujuh)  hari  setelah  permohonan  kasasi terdaftar, Panitera Pengadilan Dalam Tingkat Pertama yang memutus perkara tersebut memberitahukan secara tertulis mengenai permohonan itu kepada pihak lawan. Dalam  pengajuan  permohonan  kasasi  pemohon  wajib  menyampaikan  pula memori  kasasi  yang  memuat  alasan-alasannya,  dalam  tenggang  waktu  14 (empat  belas)  hari  setelah  permohonan  yang  dimaksud  dicatat  dalam  buku daftar; Panitera Pengadilan yang memutus perkara dalam tingkat pertama memberikan tanda  terima  atas  penerimaan  memori  kasasi  dan  </w:t>
      </w:r>
      <w:r>
        <w:rPr>
          <w:rFonts w:ascii="Arial" w:cs="Arial" w:hAnsi="Arial"/>
          <w:spacing w:val="-6"/>
          <w:sz w:val="24"/>
          <w:szCs w:val="24"/>
          <w:lang w:eastAsia="id-ID"/>
        </w:rPr>
        <w:t>menyampaikan  salinan memori  kasasi  tersebut  kepada  pihak  lawan  dalam  perkara  yang  dimaksud dalam waktu selambat-lambatnya 30 (tiga puluh) hari. Pihak lawan berhak mengajukan surat jawaban terhadap memori kasasi kepada Panitera, dalam tenggang waktu 14 (empat belas) hari sejak tanggal diterimanya salinan memori kasasi. Setelah menerima memori kasasi dan jawaban terhadap memori kasasi,  Panitera  Pengadilan  yang  memutus perkara  dalam  tingkat  pertama,  mengirimkan  permohonan  kasasi,  memori kasasi, jawaban atas memori kasasi, beserta berkas perkaranya kepada Mahkamah Agung dalam waktu selambat-lambatnya 30 (tiga puluh) hari. Panitera Mahkamah Agung mencatat permohonan kasasi tersebut dalam buku daftar dengan membubuhkan nomor urut menurut tanggal penerimaannya, membuat  catatan singkat  tentang  isinya,  dan melaporkan  semua  itu kepada Ketua Mahkamah Agung.</w:t>
      </w:r>
    </w:p>
    <w:p>
      <w:pPr>
        <w:pStyle w:val="style179"/>
        <w:numPr>
          <w:ilvl w:val="0"/>
          <w:numId w:val="9"/>
        </w:numPr>
        <w:ind w:left="426"/>
        <w:jc w:val="both"/>
        <w:rPr>
          <w:rFonts w:ascii="Arial" w:cs="Arial" w:hAnsi="Arial"/>
          <w:spacing w:val="-6"/>
          <w:sz w:val="24"/>
          <w:szCs w:val="24"/>
          <w:lang w:eastAsia="id-ID"/>
        </w:rPr>
      </w:pPr>
      <w:r>
        <w:rPr>
          <w:rFonts w:ascii="Arial" w:cs="Arial" w:hAnsi="Arial"/>
          <w:spacing w:val="-6"/>
          <w:sz w:val="24"/>
          <w:szCs w:val="24"/>
          <w:lang w:eastAsia="id-ID"/>
        </w:rPr>
        <w:t>Pencabutan Permohonan Kasasi:  Sebelum permohonan kasasi diputus oleh Mahkamah Agung, maka permohonan tersebut dapat dicabut kembali oleh pemohon, dan apabila telah dicabut, pemohon tidak dapat lagi mengajukan permohonan kasasi dalam perkara itu meskipun tenggang waktu kasasi belum lampau; Apabila  pencabutan  kembali  sebagaimana  dimaksudkan  ayat  (1)  dilakukan sebelum berkas perkaranya dikirimkan kepada Mahkamah Agung, maka berkas perkara itu tidak diteruskan kepada Mahkamah Agung.</w:t>
      </w:r>
    </w:p>
    <w:p>
      <w:pPr>
        <w:pStyle w:val="style179"/>
        <w:numPr>
          <w:ilvl w:val="0"/>
          <w:numId w:val="9"/>
        </w:numPr>
        <w:ind w:left="426"/>
        <w:jc w:val="both"/>
        <w:rPr>
          <w:rFonts w:ascii="Arial" w:cs="Arial" w:hAnsi="Arial"/>
          <w:spacing w:val="-6"/>
          <w:sz w:val="24"/>
          <w:szCs w:val="24"/>
          <w:lang w:eastAsia="id-ID"/>
        </w:rPr>
      </w:pPr>
      <w:r>
        <w:rPr>
          <w:rFonts w:ascii="Arial" w:cs="Arial" w:hAnsi="Arial"/>
          <w:spacing w:val="-6"/>
          <w:sz w:val="24"/>
          <w:szCs w:val="24"/>
          <w:lang w:eastAsia="id-ID"/>
        </w:rPr>
        <w:t xml:space="preserve">Sistem Pemeriksaan Kasasi; Pemeriksaan kasasi dilakukan oleh Mahkamah Agung, berdasarkan surat-surat dan hanya jika dipandang perlu Mahkamah Agung mendengar sendiri para pihak atau para saksi, atau memerintahkan Pengadilan Tingkat Pertama atau Pengadilan Tingkat Banding yang memutus perkara tersebut mendengar para pihak atau para saksi; Apabila  Mahkamah  Agung  membatalkan  putusan  Pengadilan  dan  mengadili sendiri perkara tersebut, maka dipakai hukum pembuktian yang berlaku bagi Pengadilan Tingkat Pertama. Dalam  </w:t>
      </w:r>
      <w:r>
        <w:rPr>
          <w:rFonts w:ascii="Arial" w:cs="Arial" w:hAnsi="Arial"/>
          <w:spacing w:val="-6"/>
          <w:sz w:val="24"/>
          <w:szCs w:val="24"/>
          <w:lang w:eastAsia="id-ID"/>
        </w:rPr>
        <w:t xml:space="preserve">hal  Mahkamah Agung  mengabulkan permohonan kasasi  berdasarkan Pasal  30  huruf  a,  maka  Mahkamah  Agung  menyerahkan  perkara  tersebut kepada Pengadilan lain yang berwenang memeriksa dan memutusnya; Dalam  hal  Mahkamah Agung  mengabulkan permohonan kasasi  berdasarkan Pasal 30 huruf b, dan huruf c, (salah menerapkan atau melanggar hukum yang berlaku  dan/atau lalai  memenuhi  syarat-syarat  yang  diwajibkan  oleh  peraturan  perundang-undangan yang mengancam kelalaian itu dengan batalnya putusan yang bersangkutan)  maka Mahkamah Agung memutus sendiri perkara yang dimohonkan kasasi itu. Dalam mengambil putusan, Mahkamah Agung tidak terikat pada alasan-alasan yang diajukan oleh pemohon kasasi dan dapat memakai alasan-alasan hukum lain. Salinan putusan dikirimkan kepada Ketua Pengadilan  Tingkat  Pertama  yang memutus perkara tersebut. Putusan  Mahkamah  Agung  oleh  Pengadilan  Tingkat  Pertama  diberitahukan kepada kedua belah pihak selambat-lambatnya 30 (tiga puluh) hari setelah putusan dan berkas perkara diterima oleh Pengadilan Tingkat Pertama tersebut. </w:t>
      </w:r>
      <w:r>
        <w:rPr>
          <w:rFonts w:ascii="Arial" w:cs="Arial" w:hAnsi="Arial"/>
          <w:sz w:val="22"/>
          <w:szCs w:val="22"/>
          <w:vertAlign w:val="superscript"/>
          <w:lang w:val="sv-SE"/>
        </w:rPr>
        <w:footnoteReference w:id="11"/>
      </w:r>
      <w:r>
        <w:rPr>
          <w:rFonts w:ascii="Arial" w:cs="Arial" w:hAnsi="Arial"/>
          <w:spacing w:val="-6"/>
          <w:sz w:val="24"/>
          <w:szCs w:val="24"/>
          <w:lang w:eastAsia="id-ID"/>
        </w:rPr>
        <w:t xml:space="preserve"> </w:t>
      </w:r>
    </w:p>
    <w:p>
      <w:pPr>
        <w:pStyle w:val="style179"/>
        <w:ind w:left="567" w:hanging="567"/>
        <w:jc w:val="both"/>
        <w:rPr>
          <w:rFonts w:ascii="Arial" w:cs="Arial" w:hAnsi="Arial"/>
          <w:spacing w:val="-6"/>
          <w:sz w:val="24"/>
          <w:szCs w:val="24"/>
          <w:lang w:eastAsia="id-ID"/>
        </w:rPr>
      </w:pPr>
    </w:p>
    <w:p>
      <w:pPr>
        <w:pStyle w:val="style179"/>
        <w:ind w:left="426"/>
        <w:jc w:val="both"/>
        <w:rPr>
          <w:rFonts w:ascii="Arial" w:cs="Arial" w:hAnsi="Arial"/>
          <w:spacing w:val="-6"/>
          <w:sz w:val="24"/>
          <w:szCs w:val="24"/>
          <w:lang w:eastAsia="id-ID"/>
        </w:rPr>
      </w:pPr>
      <w:r>
        <w:rPr>
          <w:rFonts w:ascii="Arial" w:cs="Arial" w:hAnsi="Arial"/>
          <w:spacing w:val="-6"/>
          <w:sz w:val="24"/>
          <w:szCs w:val="24"/>
          <w:lang w:eastAsia="id-ID"/>
        </w:rPr>
        <w:t>Prosedur permohonan kasasi pada pengadilan negeri, terdiri dari beberapa tahapan, antara lain;</w:t>
      </w:r>
    </w:p>
    <w:p>
      <w:pPr>
        <w:pStyle w:val="style179"/>
        <w:numPr>
          <w:ilvl w:val="0"/>
          <w:numId w:val="10"/>
        </w:numPr>
        <w:ind w:left="426"/>
        <w:jc w:val="both"/>
        <w:rPr>
          <w:rFonts w:ascii="Arial" w:cs="Arial" w:hAnsi="Arial"/>
          <w:spacing w:val="-6"/>
          <w:sz w:val="24"/>
          <w:szCs w:val="24"/>
          <w:lang w:eastAsia="id-ID"/>
        </w:rPr>
      </w:pPr>
      <w:r>
        <w:rPr>
          <w:rFonts w:ascii="Arial" w:cs="Arial" w:hAnsi="Arial"/>
          <w:spacing w:val="-6"/>
          <w:sz w:val="24"/>
          <w:szCs w:val="24"/>
          <w:lang w:eastAsia="id-ID"/>
        </w:rPr>
        <w:t>Permohonan kasasi disampaikan oleh pihak yang berhak baik secara tertulis atau lisan kepada Panitera Pengadilan Negeri yang memutus perkara tersebut dengan melunasi biaya kasasi.</w:t>
      </w:r>
    </w:p>
    <w:p>
      <w:pPr>
        <w:pStyle w:val="style179"/>
        <w:numPr>
          <w:ilvl w:val="0"/>
          <w:numId w:val="10"/>
        </w:numPr>
        <w:ind w:left="426"/>
        <w:jc w:val="both"/>
        <w:rPr>
          <w:rFonts w:ascii="Arial" w:cs="Arial" w:hAnsi="Arial"/>
          <w:spacing w:val="-6"/>
          <w:sz w:val="24"/>
          <w:szCs w:val="24"/>
          <w:lang w:eastAsia="id-ID"/>
        </w:rPr>
      </w:pPr>
      <w:r>
        <w:rPr>
          <w:rFonts w:ascii="Arial" w:cs="Arial" w:hAnsi="Arial"/>
          <w:spacing w:val="-6"/>
          <w:sz w:val="24"/>
          <w:szCs w:val="24"/>
          <w:lang w:eastAsia="id-ID"/>
        </w:rPr>
        <w:t>Pengadilan Negeri akan mencatat permohonan kasasi dalam buku daftar, dan hari itu juga membuat akta permohonan kasasi yang dilampurkan pada berkas (pasal 46 ayat (3) UU No. 14/1985)</w:t>
      </w:r>
    </w:p>
    <w:p>
      <w:pPr>
        <w:pStyle w:val="style179"/>
        <w:numPr>
          <w:ilvl w:val="0"/>
          <w:numId w:val="10"/>
        </w:numPr>
        <w:ind w:left="426"/>
        <w:jc w:val="both"/>
        <w:rPr>
          <w:rFonts w:ascii="Arial" w:cs="Arial" w:hAnsi="Arial"/>
          <w:spacing w:val="-6"/>
          <w:sz w:val="24"/>
          <w:szCs w:val="24"/>
          <w:lang w:eastAsia="id-ID"/>
        </w:rPr>
      </w:pPr>
      <w:r>
        <w:rPr>
          <w:rFonts w:ascii="Arial" w:cs="Arial" w:hAnsi="Arial"/>
          <w:spacing w:val="-6"/>
          <w:sz w:val="24"/>
          <w:szCs w:val="24"/>
          <w:lang w:eastAsia="id-ID"/>
        </w:rPr>
        <w:t>Paling lambat 7 hari setelah permohonan kasasi didaftarkan panitera Pengadilan Negeri memberitahukan secara tertulis kepada pihak lawan (pasal 46 ayat (4) UU No. 14/1985)</w:t>
      </w:r>
    </w:p>
    <w:p>
      <w:pPr>
        <w:pStyle w:val="style179"/>
        <w:numPr>
          <w:ilvl w:val="0"/>
          <w:numId w:val="10"/>
        </w:numPr>
        <w:ind w:left="426"/>
        <w:jc w:val="both"/>
        <w:rPr>
          <w:rFonts w:ascii="Arial" w:cs="Arial" w:hAnsi="Arial"/>
          <w:spacing w:val="-6"/>
          <w:sz w:val="24"/>
          <w:szCs w:val="24"/>
          <w:lang w:eastAsia="id-ID"/>
        </w:rPr>
      </w:pPr>
      <w:r>
        <w:rPr>
          <w:rFonts w:ascii="Arial" w:cs="Arial" w:hAnsi="Arial"/>
          <w:spacing w:val="-6"/>
          <w:sz w:val="24"/>
          <w:szCs w:val="24"/>
          <w:lang w:eastAsia="id-ID"/>
        </w:rPr>
        <w:t>Dalam tenggang waktu 14 hari setelah permohonan kasasi dicatat dalam buku daftar pemohon kasasi wajib membuat memori kasasi yang berisi alasan-alasan permohonan kasasi (pasal 47 ayat (1) UU No. 14/1985)</w:t>
      </w:r>
    </w:p>
    <w:p>
      <w:pPr>
        <w:pStyle w:val="style179"/>
        <w:numPr>
          <w:ilvl w:val="0"/>
          <w:numId w:val="10"/>
        </w:numPr>
        <w:ind w:left="426"/>
        <w:jc w:val="both"/>
        <w:rPr>
          <w:rFonts w:ascii="Arial" w:cs="Arial" w:hAnsi="Arial"/>
          <w:spacing w:val="-6"/>
          <w:sz w:val="24"/>
          <w:szCs w:val="24"/>
          <w:lang w:eastAsia="id-ID"/>
        </w:rPr>
      </w:pPr>
      <w:r>
        <w:rPr>
          <w:rFonts w:ascii="Arial" w:cs="Arial" w:hAnsi="Arial"/>
          <w:spacing w:val="-6"/>
          <w:sz w:val="24"/>
          <w:szCs w:val="24"/>
          <w:lang w:eastAsia="id-ID"/>
        </w:rPr>
        <w:t>Panitera Pengadilan Negeri menyampaikan salinan memori kasasi pada lawan paling lambat 30 hari (pasal 47 ayat (2) UU No. 14/1985).</w:t>
      </w:r>
    </w:p>
    <w:p>
      <w:pPr>
        <w:pStyle w:val="style179"/>
        <w:numPr>
          <w:ilvl w:val="0"/>
          <w:numId w:val="10"/>
        </w:numPr>
        <w:ind w:left="426"/>
        <w:jc w:val="both"/>
        <w:rPr>
          <w:rFonts w:ascii="Arial" w:cs="Arial" w:hAnsi="Arial"/>
          <w:spacing w:val="-6"/>
          <w:sz w:val="24"/>
          <w:szCs w:val="24"/>
          <w:lang w:eastAsia="id-ID"/>
        </w:rPr>
      </w:pPr>
      <w:r>
        <w:rPr>
          <w:rFonts w:ascii="Arial" w:cs="Arial" w:hAnsi="Arial"/>
          <w:spacing w:val="-6"/>
          <w:sz w:val="24"/>
          <w:szCs w:val="24"/>
          <w:lang w:eastAsia="id-ID"/>
        </w:rPr>
        <w:t>Pihak lawan berhak mengajukan kontra memori kasais dalam tenggang waktu 14 hari sejak tanggal diterimanya salinan memori kasai (pasal 47 ayat (3) UU No. 14/1985)</w:t>
      </w:r>
    </w:p>
    <w:p>
      <w:pPr>
        <w:pStyle w:val="style179"/>
        <w:numPr>
          <w:ilvl w:val="0"/>
          <w:numId w:val="10"/>
        </w:numPr>
        <w:ind w:left="426"/>
        <w:jc w:val="both"/>
        <w:rPr>
          <w:rFonts w:ascii="Arial" w:cs="Arial" w:hAnsi="Arial"/>
          <w:spacing w:val="-6"/>
          <w:sz w:val="24"/>
          <w:szCs w:val="24"/>
          <w:lang w:eastAsia="id-ID"/>
        </w:rPr>
      </w:pPr>
      <w:r>
        <w:rPr>
          <w:rFonts w:ascii="Arial" w:cs="Arial" w:hAnsi="Arial"/>
          <w:spacing w:val="-6"/>
          <w:sz w:val="24"/>
          <w:szCs w:val="24"/>
          <w:lang w:eastAsia="id-ID"/>
        </w:rPr>
        <w:t>Setelah menerima memori dan kontra memori kasasi dalam jangka waktu 30 hari Panitera Pengadilan Negeri harus mengirimkan semua berkas kepada Mahkamah Agung (pasal 48 ayat (1) UU No. 14/1985)</w:t>
      </w:r>
    </w:p>
    <w:p>
      <w:pPr>
        <w:pStyle w:val="style0"/>
        <w:ind w:firstLine="360"/>
        <w:jc w:val="both"/>
        <w:rPr>
          <w:rFonts w:ascii="Arial" w:cs="Arial" w:hAnsi="Arial"/>
          <w:spacing w:val="-6"/>
          <w:sz w:val="24"/>
          <w:szCs w:val="24"/>
          <w:lang w:eastAsia="id-ID"/>
        </w:rPr>
      </w:pPr>
      <w:r>
        <w:rPr>
          <w:rFonts w:ascii="Arial" w:cs="Arial" w:hAnsi="Arial"/>
          <w:spacing w:val="-6"/>
          <w:sz w:val="24"/>
          <w:szCs w:val="24"/>
          <w:lang w:eastAsia="id-ID"/>
        </w:rPr>
        <w:t>Pada tahun 2014, dikeluarkan kebijakan yang berhubungan dengan  penyempurnaan sistem kamar oleh Ketua Mahkamah Agung R.I., dengan menerbitkan Keputusan Nomor 213/KMA/SK/XII/2014 tanggal 30 Desember 2014 tentang Pedoman Penerapan Sistem Kamar pada Mahkamah Agung RI. Keputusan ini mencabut dan menyatakan tidak berlaku pedoman penerapan sistem kamar yang diatur dalam beberapa keputusan yaitu: SK KMA Nomor 142/KMA/SK/IX/2011tanggal 19 September 2011, SK KMA Nomor 017/KMA/SK/II/2012 tanggal 3 Februari 2012 dan SK KMA  Nomor 112/KMA/SK/VII/2013 tanggal10 Juli 2013.</w:t>
      </w:r>
    </w:p>
    <w:p>
      <w:pPr>
        <w:pStyle w:val="style0"/>
        <w:jc w:val="both"/>
        <w:rPr>
          <w:rFonts w:ascii="Arial" w:cs="Arial" w:hAnsi="Arial"/>
          <w:spacing w:val="-6"/>
          <w:sz w:val="24"/>
          <w:szCs w:val="24"/>
          <w:lang w:eastAsia="id-ID"/>
        </w:rPr>
      </w:pPr>
    </w:p>
    <w:p>
      <w:pPr>
        <w:pStyle w:val="style0"/>
        <w:spacing w:after="200"/>
        <w:jc w:val="both"/>
        <w:rPr>
          <w:rFonts w:ascii="Arial" w:cs="Arial" w:eastAsia="Calibri" w:hAnsi="Arial"/>
          <w:b/>
          <w:color w:val="000000"/>
          <w:sz w:val="24"/>
          <w:szCs w:val="24"/>
        </w:rPr>
      </w:pPr>
      <w:r>
        <w:rPr>
          <w:rFonts w:ascii="Arial" w:cs="Arial" w:eastAsia="Calibri" w:hAnsi="Arial"/>
          <w:b/>
          <w:color w:val="000000"/>
          <w:sz w:val="24"/>
          <w:szCs w:val="24"/>
        </w:rPr>
        <w:t>Upaya Pimpinan MA Dalam Permasalahan Penyelesaian Perkara</w:t>
      </w:r>
    </w:p>
    <w:p>
      <w:pPr>
        <w:pStyle w:val="style0"/>
        <w:ind w:firstLine="720"/>
        <w:jc w:val="both"/>
        <w:rPr>
          <w:rFonts w:ascii="Arial" w:cs="Arial" w:eastAsia="Calibri" w:hAnsi="Arial"/>
          <w:color w:val="000000"/>
          <w:sz w:val="24"/>
          <w:szCs w:val="24"/>
          <w:lang w:val="id-ID"/>
        </w:rPr>
      </w:pPr>
      <w:r>
        <w:rPr>
          <w:rFonts w:ascii="Arial" w:cs="Arial" w:eastAsia="Calibri" w:hAnsi="Arial"/>
          <w:color w:val="000000"/>
          <w:sz w:val="24"/>
          <w:szCs w:val="24"/>
        </w:rPr>
        <w:t>Pendapat Prof. Dr. Bagir Manan (Mantan Ketua Mahkamah Agung, Periode 18 Mei 2001 s.d. 2 Mei 2006 dan 2 Mei 2006 s.d 31 Oktober 2008), ada tiga strategi dasar untuk memecahkan (menyelesaikan masalah permohonan kasasi, yakni Menurunkan jumlah permohonan kasasi; meningkatkan produktivitas dan membangun efisiensi.</w:t>
      </w:r>
    </w:p>
    <w:p>
      <w:pPr>
        <w:pStyle w:val="style0"/>
        <w:ind w:left="426"/>
        <w:jc w:val="both"/>
        <w:rPr>
          <w:rFonts w:ascii="Arial" w:cs="Arial" w:eastAsia="Calibri" w:hAnsi="Arial"/>
          <w:color w:val="000000"/>
          <w:sz w:val="24"/>
          <w:szCs w:val="24"/>
          <w:lang w:val="id-ID"/>
        </w:rPr>
      </w:pPr>
      <w:r>
        <w:rPr>
          <w:rFonts w:ascii="Arial" w:cs="Arial" w:eastAsia="Calibri" w:hAnsi="Arial"/>
          <w:color w:val="000000"/>
          <w:sz w:val="24"/>
          <w:szCs w:val="24"/>
          <w:lang w:val="id-ID"/>
        </w:rPr>
        <w:t xml:space="preserve">Untuk menjangkau efisiensi setinggi-tingginya, harus diadakan pembaharuan sebagai berikut; a) Memberikan wewenang kepada Ketua PN/PA/PTUN/PMIL tidak meneruskan permohonan yang nyata-nyata tidak </w:t>
      </w:r>
      <w:r>
        <w:rPr>
          <w:rFonts w:ascii="Arial" w:cs="Arial" w:eastAsia="Calibri" w:hAnsi="Arial"/>
          <w:color w:val="000000"/>
          <w:sz w:val="24"/>
          <w:szCs w:val="24"/>
          <w:lang w:val="id-ID"/>
        </w:rPr>
        <w:t>memenuhi syarat-syarat formal yang telah diatur dalam Undang-Undang.  Ketua-ketua tersebut cukup menyampaikan laporan kepada Ketua Mahkamah Agung mengenai permohonan yang tidak memenuhi syarat; b) Memberi wewenang kepada Ketua Mahkamah Agung membuat ketetapan yang menyatakan permohonan kasasi tidak memenuhi syarat undang-undang.  Tidak diperlukan putusan majelis seperti memutus permohonan yang memenuhi syarat; c) Mempersingkat prosedur dari penerimaan sampai perkara sampai ke anggota majelis; d) Menegaskan hubungan fungsionil antara staf Hakim Agung dengan Hakim Agung; e) Memberi wewenang yang lebih tegas kepada Ketua Majelis atau Ketua Muda mengontrol perkara dengan majelis; f) Mengkaji ulang ketepatan dan kebutuhan resume perkara sebelum sampai kepada majelis, termasuk pengorganisasian para asisten agar lebih berdayaguna; g) Meningkatkan mutu dan jumlah tenaga pembuat minutasi agar lebih produktif; h) Menyediakan berbagai fasilitas kerja agar tugas-tugas dapat dilaksanakan lebih cepat; i) Memperhatikan sungguh-sungguh kesejahteraan pegawai.</w:t>
      </w:r>
      <w:r>
        <w:rPr>
          <w:rFonts w:ascii="Arial" w:cs="Arial" w:hAnsi="Arial"/>
          <w:color w:val="000000"/>
          <w:sz w:val="24"/>
          <w:szCs w:val="24"/>
          <w:vertAlign w:val="superscript"/>
          <w:lang w:val="sv-SE"/>
        </w:rPr>
        <w:t xml:space="preserve"> </w:t>
      </w:r>
      <w:r>
        <w:rPr>
          <w:rFonts w:ascii="Arial" w:cs="Arial" w:hAnsi="Arial"/>
          <w:color w:val="000000"/>
          <w:sz w:val="24"/>
          <w:szCs w:val="24"/>
          <w:vertAlign w:val="superscript"/>
          <w:lang w:val="sv-SE"/>
        </w:rPr>
        <w:footnoteReference w:id="12"/>
      </w:r>
    </w:p>
    <w:p>
      <w:pPr>
        <w:pStyle w:val="style0"/>
        <w:ind w:firstLine="720"/>
        <w:jc w:val="both"/>
        <w:rPr>
          <w:rFonts w:ascii="Arial" w:cs="Arial" w:eastAsia="Calibri" w:hAnsi="Arial"/>
          <w:color w:val="000000"/>
          <w:sz w:val="24"/>
          <w:szCs w:val="24"/>
          <w:lang w:val="id-ID"/>
        </w:rPr>
      </w:pPr>
      <w:r>
        <w:rPr>
          <w:rFonts w:ascii="Arial" w:cs="Arial" w:eastAsia="Calibri" w:hAnsi="Arial"/>
          <w:color w:val="000000"/>
          <w:sz w:val="24"/>
          <w:szCs w:val="24"/>
          <w:lang w:val="id-ID"/>
        </w:rPr>
        <w:t>Pada masa tersebut sudah ditemukan beberapa permasalahan yang cukup mengganggu dan menghambat dalam penyelesaian perkara dengan diimbangi upaya perbaikan-perbaikan, namun seiring dengan itu permohonan kasasipun semakin meningkat tajam, sehingga menjadi beban tambahan juga untuk menyelesaikannya.</w:t>
      </w:r>
    </w:p>
    <w:p>
      <w:pPr>
        <w:pStyle w:val="style0"/>
        <w:ind w:firstLine="720"/>
        <w:jc w:val="both"/>
        <w:rPr>
          <w:rFonts w:ascii="Arial" w:cs="Arial" w:eastAsia="Calibri" w:hAnsi="Arial"/>
          <w:color w:val="000000"/>
          <w:sz w:val="24"/>
          <w:szCs w:val="24"/>
          <w:lang w:val="id-ID"/>
        </w:rPr>
      </w:pPr>
      <w:r>
        <w:rPr>
          <w:rFonts w:ascii="Arial" w:cs="Arial" w:eastAsia="Calibri" w:hAnsi="Arial"/>
          <w:color w:val="000000"/>
          <w:sz w:val="24"/>
          <w:szCs w:val="24"/>
          <w:lang w:val="id-ID"/>
        </w:rPr>
        <w:t>Dengan semakin bertambahnya pengajuan kasasi, maka masalah yang timbulpun menjadi bertambah rumit dan perlu segera diatasi.</w:t>
      </w:r>
    </w:p>
    <w:p>
      <w:pPr>
        <w:pStyle w:val="style0"/>
        <w:ind w:left="426"/>
        <w:jc w:val="both"/>
        <w:rPr>
          <w:rFonts w:ascii="Arial" w:cs="Arial" w:eastAsia="Calibri" w:hAnsi="Arial"/>
          <w:color w:val="000000"/>
          <w:sz w:val="24"/>
          <w:szCs w:val="24"/>
        </w:rPr>
      </w:pPr>
      <w:r>
        <w:rPr>
          <w:rFonts w:ascii="Arial" w:cs="Arial" w:eastAsia="Calibri" w:hAnsi="Arial"/>
          <w:color w:val="000000"/>
          <w:sz w:val="24"/>
          <w:szCs w:val="24"/>
        </w:rPr>
        <w:t xml:space="preserve">Sejak tahun 2004, saat naskah akademis tersebut diterbitkan oleh Puslitbang, maka permasalahan yang terjadi diantaranya; a) Sistem pencatatan permohonan kasasi.  Berbagai tahap yang harus dilalui </w:t>
      </w:r>
      <w:r>
        <w:rPr>
          <w:rFonts w:ascii="Arial" w:cs="Arial" w:eastAsia="Calibri" w:hAnsi="Arial"/>
          <w:color w:val="000000"/>
          <w:sz w:val="24"/>
          <w:szCs w:val="24"/>
        </w:rPr>
        <w:t xml:space="preserve">sangat mempengaruhi efisiensi pengadministrasian permohonan kasasi; b) </w:t>
      </w:r>
      <w:r>
        <w:rPr>
          <w:rFonts w:ascii="Arial" w:cs="Arial" w:eastAsia="Calibri" w:hAnsi="Arial"/>
          <w:color w:val="000000"/>
          <w:sz w:val="24"/>
          <w:szCs w:val="24"/>
          <w:lang w:val="id-ID"/>
        </w:rPr>
        <w:t>Si</w:t>
      </w:r>
      <w:r>
        <w:rPr>
          <w:rFonts w:ascii="Arial" w:cs="Arial" w:eastAsia="Calibri" w:hAnsi="Arial"/>
          <w:color w:val="000000"/>
          <w:sz w:val="24"/>
          <w:szCs w:val="24"/>
        </w:rPr>
        <w:t>stem pemeriksaan sentralistik.  Wewenang distribusi ada pada Ketua Mahkamah Agung.  Ketua MA tidak mungkin memeriksa satu persatu nomor-nomor perkara apalagi berkas yang akan didistribusikan.  Dalam praktek Ketua MA tergantung pada Direktorat bersangkutan, sehingga kemungkinan penyalahgunaan wewenang dapat terjadi.  Yang harus dibangun adalah sistem kontrol dari distribusi dan s</w:t>
      </w:r>
      <w:r>
        <w:rPr>
          <w:rFonts w:ascii="Arial" w:cs="Arial" w:eastAsia="Calibri" w:hAnsi="Arial"/>
          <w:color w:val="000000"/>
          <w:sz w:val="24"/>
          <w:szCs w:val="24"/>
          <w:lang w:val="id-ID"/>
        </w:rPr>
        <w:t>i</w:t>
      </w:r>
      <w:r>
        <w:rPr>
          <w:rFonts w:ascii="Arial" w:cs="Arial" w:eastAsia="Calibri" w:hAnsi="Arial"/>
          <w:color w:val="000000"/>
          <w:sz w:val="24"/>
          <w:szCs w:val="24"/>
        </w:rPr>
        <w:t xml:space="preserve">stem pelaporan kepada Ketua MA; c).  Sistem penunjukkan hakim majelis yang dilakukan Ketua-ketua Muda setelah menerima distribusi perkara; </w:t>
      </w:r>
      <w:r>
        <w:rPr>
          <w:rFonts w:ascii="Arial" w:cs="Arial" w:eastAsia="Calibri" w:hAnsi="Arial"/>
          <w:color w:val="000000"/>
          <w:sz w:val="24"/>
          <w:szCs w:val="24"/>
          <w:lang w:val="id-ID"/>
        </w:rPr>
        <w:t xml:space="preserve">       </w:t>
      </w:r>
      <w:r>
        <w:rPr>
          <w:rFonts w:ascii="Arial" w:cs="Arial" w:eastAsia="Calibri" w:hAnsi="Arial"/>
          <w:color w:val="000000"/>
          <w:sz w:val="24"/>
          <w:szCs w:val="24"/>
        </w:rPr>
        <w:t>d).  Sistem penelaahan (pembuatan resume) oleh para asisten yang kadang-kadang memakan waktu.  Hasil telaahan itu sendiri belum tentu membantu Hakim memecahkan perkara.  Pertama: telaahan hanya bersifat deskriptif belaka, yang dapat dibaca sendiri oleh Hakim Agung.   Telaahan ini akan bermanfaat apabila disertai penelaahan dasar-dasar hukum atau yurisprudensi yang relevan.  Kedua; dapat terjadi penyalahgunaan dengan memberi arahan tertentu yang dapat menyesatkan penyelesaian perkara.  Pengetikan hasil telaahan membu</w:t>
      </w:r>
      <w:r>
        <w:rPr>
          <w:rFonts w:ascii="Arial" w:cs="Arial" w:eastAsia="Calibri" w:hAnsi="Arial"/>
          <w:color w:val="000000"/>
          <w:sz w:val="24"/>
          <w:szCs w:val="24"/>
          <w:lang w:val="id-ID"/>
        </w:rPr>
        <w:t>t</w:t>
      </w:r>
      <w:r>
        <w:rPr>
          <w:rFonts w:ascii="Arial" w:cs="Arial" w:eastAsia="Calibri" w:hAnsi="Arial"/>
          <w:color w:val="000000"/>
          <w:sz w:val="24"/>
          <w:szCs w:val="24"/>
        </w:rPr>
        <w:t xml:space="preserve">uhkan pula waktu; e)  </w:t>
      </w:r>
      <w:r>
        <w:rPr>
          <w:rFonts w:ascii="Arial" w:cs="Arial" w:eastAsia="Calibri" w:hAnsi="Arial"/>
          <w:color w:val="000000"/>
          <w:sz w:val="24"/>
          <w:szCs w:val="24"/>
          <w:lang w:val="id-ID"/>
        </w:rPr>
        <w:t>M</w:t>
      </w:r>
      <w:r>
        <w:rPr>
          <w:rFonts w:ascii="Arial" w:cs="Arial" w:eastAsia="Calibri" w:hAnsi="Arial"/>
          <w:color w:val="000000"/>
          <w:sz w:val="24"/>
          <w:szCs w:val="24"/>
        </w:rPr>
        <w:t xml:space="preserve">inutasi putusan memerlukan waktu lama.  Rata-rata enam bulan.  Kelambatan ini terjadi karena: Pertama; fasilitas kerja yang tidak memadai untuk bekerja cepat.  Hingga saat ini proses tata usaha – seperti pembuatan minutasi – dilakukan secara manual dengan mesin-mesin tik tua,  komputer sangat terbatas.  Kedua; tidak cukup insentif bagi petugas untuk bekerja cepat.  Ketiga; didapati fasilitas pihak berperkara (hampir semua lini ada unsur mengharap fasilitas dari yang berperkara); </w:t>
      </w:r>
      <w:r>
        <w:rPr>
          <w:rFonts w:ascii="Arial" w:cs="Arial" w:eastAsia="Calibri" w:hAnsi="Arial"/>
          <w:color w:val="000000"/>
          <w:sz w:val="24"/>
          <w:szCs w:val="24"/>
          <w:lang w:val="id-ID"/>
        </w:rPr>
        <w:t xml:space="preserve">      </w:t>
      </w:r>
      <w:r>
        <w:rPr>
          <w:rFonts w:ascii="Arial" w:cs="Arial" w:eastAsia="Calibri" w:hAnsi="Arial"/>
          <w:color w:val="000000"/>
          <w:sz w:val="24"/>
          <w:szCs w:val="24"/>
        </w:rPr>
        <w:t xml:space="preserve">f). Hubungan tanggungjawab yang tidak jelas antara Hakim Agung, staf Hakim Agung dan satuan-satuan administrasi lainnya.  Hakim Agung seolah-olah hanya bertanggungjawab pada dan sampai perkara diputus.  Kapan dan bagaimana putusan itu sampai kepada </w:t>
      </w:r>
      <w:r>
        <w:rPr>
          <w:rFonts w:ascii="Arial" w:cs="Arial" w:eastAsia="Calibri" w:hAnsi="Arial"/>
          <w:color w:val="000000"/>
          <w:sz w:val="24"/>
          <w:szCs w:val="24"/>
        </w:rPr>
        <w:t>pencari keadilan dianggap bukan urusan Hakim Agung.  Akibatnya, masing-masing satuan kerja bak pulau-pulau yang terpisah satu sama lain, bukan merupakan sebuah sistem.</w:t>
      </w:r>
      <w:r>
        <w:rPr>
          <w:rFonts w:ascii="Arial" w:cs="Arial" w:hAnsi="Arial"/>
          <w:color w:val="000000"/>
          <w:sz w:val="24"/>
          <w:szCs w:val="24"/>
          <w:vertAlign w:val="superscript"/>
          <w:lang w:val="sv-SE"/>
        </w:rPr>
        <w:t xml:space="preserve"> </w:t>
      </w:r>
      <w:r>
        <w:rPr>
          <w:rFonts w:ascii="Arial" w:cs="Arial" w:hAnsi="Arial"/>
          <w:color w:val="000000"/>
          <w:sz w:val="24"/>
          <w:szCs w:val="24"/>
          <w:vertAlign w:val="superscript"/>
          <w:lang w:val="sv-SE"/>
        </w:rPr>
        <w:footnoteReference w:id="13"/>
      </w:r>
    </w:p>
    <w:p>
      <w:pPr>
        <w:pStyle w:val="style0"/>
        <w:ind w:firstLine="720"/>
        <w:jc w:val="both"/>
        <w:rPr>
          <w:rFonts w:ascii="Arial" w:cs="Arial" w:hAnsi="Arial"/>
          <w:color w:val="000000"/>
          <w:sz w:val="24"/>
          <w:szCs w:val="24"/>
          <w:lang w:val="sv-SE"/>
        </w:rPr>
      </w:pPr>
      <w:r>
        <w:rPr>
          <w:rFonts w:ascii="Arial" w:cs="Arial" w:hAnsi="Arial"/>
          <w:i/>
          <w:sz w:val="24"/>
          <w:szCs w:val="24"/>
        </w:rPr>
        <w:t xml:space="preserve">Road Map </w:t>
      </w:r>
      <w:r>
        <w:rPr>
          <w:rFonts w:ascii="Arial" w:cs="Arial" w:hAnsi="Arial"/>
          <w:sz w:val="24"/>
          <w:szCs w:val="24"/>
        </w:rPr>
        <w:t>Reformasi Birokrasi Mahkamah Agung</w:t>
      </w:r>
      <w:r>
        <w:rPr>
          <w:rFonts w:ascii="Arial" w:cs="Arial" w:hAnsi="Arial"/>
          <w:sz w:val="24"/>
          <w:szCs w:val="24"/>
          <w:lang w:val="id-ID"/>
        </w:rPr>
        <w:t>, mengungkapkan</w:t>
      </w:r>
      <w:r>
        <w:rPr>
          <w:rFonts w:ascii="Arial" w:cs="Arial" w:hAnsi="Arial"/>
          <w:lang w:val="id-ID"/>
        </w:rPr>
        <w:t xml:space="preserve"> </w:t>
      </w:r>
      <w:r>
        <w:rPr>
          <w:rFonts w:ascii="Arial" w:cs="Arial" w:hAnsi="Arial"/>
          <w:color w:val="000000"/>
          <w:sz w:val="24"/>
          <w:szCs w:val="24"/>
          <w:lang w:val="sv-SE"/>
        </w:rPr>
        <w:t>beberapa permasalahan</w:t>
      </w:r>
      <w:r>
        <w:rPr>
          <w:rFonts w:ascii="Arial" w:cs="Arial" w:hAnsi="Arial"/>
          <w:color w:val="000000"/>
          <w:sz w:val="24"/>
          <w:szCs w:val="24"/>
          <w:vertAlign w:val="superscript"/>
          <w:lang w:val="sv-SE"/>
        </w:rPr>
        <w:footnoteReference w:id="14"/>
      </w:r>
      <w:r>
        <w:rPr>
          <w:rFonts w:ascii="Arial" w:cs="Arial" w:hAnsi="Arial"/>
          <w:color w:val="000000"/>
          <w:sz w:val="24"/>
          <w:szCs w:val="24"/>
          <w:lang w:val="sv-SE"/>
        </w:rPr>
        <w:t xml:space="preserve">, antara lain:  Manajemen perkara; </w:t>
      </w:r>
      <w:r>
        <w:rPr>
          <w:rFonts w:ascii="Arial" w:cs="Arial" w:hAnsi="Arial"/>
          <w:color w:val="000000"/>
          <w:sz w:val="24"/>
          <w:szCs w:val="24"/>
          <w:lang w:val="id-ID"/>
        </w:rPr>
        <w:t xml:space="preserve">a. </w:t>
      </w:r>
      <w:r>
        <w:rPr>
          <w:rFonts w:ascii="Arial" w:cs="Arial" w:hAnsi="Arial"/>
          <w:color w:val="000000"/>
          <w:sz w:val="24"/>
          <w:szCs w:val="24"/>
        </w:rPr>
        <w:t>Masih banyaknya keluhan publik tentang akurasi informasi pada Sistem Informasi Perkara dan Putusan serta tidak ada kemampuan untuk mengontrol secara efektif. b. Adanya beberapa permasalahan proses penyelesaian perkara yang dimulai dengan penerimaan berkas, registrasi, pemeriksaan dan penjauhan putusan serta minutasi. c. Lemahnya kinerja keterbukaan, akurasi informasi dan etos kerja ujung tombak pelayanan publik. d. Masih ada pemalsuan</w:t>
      </w:r>
      <w:r>
        <w:rPr>
          <w:rFonts w:ascii="Arial" w:cs="Arial" w:hAnsi="Arial"/>
          <w:color w:val="000000"/>
          <w:sz w:val="24"/>
          <w:szCs w:val="24"/>
          <w:lang w:val="en-ID"/>
        </w:rPr>
        <w:t xml:space="preserve"> </w:t>
      </w:r>
      <w:r>
        <w:rPr>
          <w:rFonts w:ascii="Arial" w:cs="Arial" w:hAnsi="Arial"/>
          <w:color w:val="000000"/>
          <w:sz w:val="24"/>
          <w:szCs w:val="24"/>
        </w:rPr>
        <w:t xml:space="preserve">dokumen putusan. e. Masih belum merata beban perkara di setiap hakim sehingga kinerja memutus perkara tidak sebanding dengan beban perkara masuk.  Pembatasan perkara kasasi: a. Tingginya jumlah perkara masuk ke MA (80% perkara masuk banding melakukan upaya hukum ke MA dan 90% dari </w:t>
      </w:r>
      <w:r>
        <w:rPr>
          <w:rFonts w:ascii="Arial" w:cs="Arial" w:hAnsi="Arial"/>
          <w:color w:val="000000"/>
          <w:sz w:val="24"/>
          <w:szCs w:val="24"/>
        </w:rPr>
        <w:t>Pe®ngadilan</w:t>
      </w:r>
      <w:r>
        <w:rPr>
          <w:rFonts w:ascii="Arial" w:cs="Arial" w:hAnsi="Arial"/>
          <w:color w:val="000000"/>
          <w:sz w:val="24"/>
          <w:szCs w:val="24"/>
        </w:rPr>
        <w:t xml:space="preserve"> umum) sehingga sulit bagi MA untuk melakukan pemetaan</w:t>
      </w:r>
      <w:r>
        <w:rPr>
          <w:rFonts w:ascii="Arial" w:cs="Arial" w:hAnsi="Arial"/>
          <w:color w:val="000000"/>
          <w:sz w:val="24"/>
          <w:szCs w:val="24"/>
          <w:lang w:val="id-ID"/>
        </w:rPr>
        <w:t xml:space="preserve"> </w:t>
      </w:r>
      <w:r>
        <w:rPr>
          <w:rFonts w:ascii="Arial" w:cs="Arial" w:hAnsi="Arial"/>
          <w:color w:val="000000"/>
          <w:sz w:val="24"/>
          <w:szCs w:val="24"/>
        </w:rPr>
        <w:t>permasalahan hukum dan mengawasi konsistensi putusan.</w:t>
      </w:r>
    </w:p>
    <w:p>
      <w:pPr>
        <w:pStyle w:val="style0"/>
        <w:autoSpaceDE w:val="false"/>
        <w:autoSpaceDN w:val="false"/>
        <w:adjustRightInd w:val="false"/>
        <w:ind w:firstLine="720"/>
        <w:jc w:val="both"/>
        <w:rPr>
          <w:rFonts w:ascii="Arial" w:cs="Arial" w:hAnsi="Arial"/>
          <w:color w:val="000000"/>
          <w:sz w:val="24"/>
          <w:szCs w:val="24"/>
        </w:rPr>
      </w:pPr>
      <w:r>
        <w:rPr>
          <w:rFonts w:ascii="Arial" w:cs="Arial" w:hAnsi="Arial"/>
          <w:color w:val="000000"/>
          <w:sz w:val="24"/>
          <w:szCs w:val="24"/>
          <w:lang w:val="id-ID"/>
        </w:rPr>
        <w:t xml:space="preserve">Dalam </w:t>
      </w:r>
      <w:r>
        <w:rPr>
          <w:rFonts w:ascii="Arial" w:cs="Arial" w:hAnsi="Arial"/>
          <w:i/>
          <w:color w:val="000000"/>
          <w:sz w:val="24"/>
          <w:szCs w:val="24"/>
          <w:lang w:val="id-ID"/>
        </w:rPr>
        <w:t>Draft</w:t>
      </w:r>
      <w:r>
        <w:rPr>
          <w:rFonts w:ascii="Arial" w:cs="Arial" w:hAnsi="Arial"/>
          <w:color w:val="000000"/>
          <w:sz w:val="24"/>
          <w:szCs w:val="24"/>
          <w:lang w:val="id-ID"/>
        </w:rPr>
        <w:t xml:space="preserve"> Kertas Kerja </w:t>
      </w:r>
      <w:r>
        <w:rPr>
          <w:rFonts w:ascii="Arial" w:cs="Arial" w:hAnsi="Arial"/>
          <w:i/>
          <w:color w:val="000000"/>
          <w:sz w:val="24"/>
          <w:szCs w:val="24"/>
          <w:lang w:val="id-ID"/>
        </w:rPr>
        <w:t>Business Process Reengineering</w:t>
      </w:r>
      <w:r>
        <w:rPr>
          <w:rFonts w:ascii="Arial" w:cs="Arial" w:hAnsi="Arial"/>
          <w:color w:val="000000"/>
          <w:sz w:val="24"/>
          <w:szCs w:val="24"/>
          <w:lang w:val="id-ID"/>
        </w:rPr>
        <w:t xml:space="preserve"> (BPR)</w:t>
      </w:r>
      <w:r>
        <w:rPr>
          <w:rFonts w:ascii="Arial" w:cs="Arial" w:hAnsi="Arial"/>
          <w:color w:val="000000"/>
          <w:sz w:val="24"/>
          <w:szCs w:val="24"/>
          <w:vertAlign w:val="superscript"/>
          <w:lang w:val="sv-SE"/>
        </w:rPr>
        <w:footnoteReference w:id="15"/>
      </w:r>
      <w:r>
        <w:rPr>
          <w:rFonts w:ascii="Arial" w:cs="Arial" w:hAnsi="Arial"/>
          <w:color w:val="000000"/>
          <w:sz w:val="24"/>
          <w:szCs w:val="24"/>
          <w:lang w:val="id-ID"/>
        </w:rPr>
        <w:t>, permasalahan yang teridentifikasi, antara lain:</w:t>
      </w:r>
    </w:p>
    <w:p>
      <w:pPr>
        <w:pStyle w:val="style0"/>
        <w:numPr>
          <w:ilvl w:val="0"/>
          <w:numId w:val="13"/>
        </w:numPr>
        <w:autoSpaceDE w:val="false"/>
        <w:autoSpaceDN w:val="false"/>
        <w:adjustRightInd w:val="false"/>
        <w:ind w:left="567" w:hanging="207"/>
        <w:jc w:val="both"/>
        <w:rPr>
          <w:rFonts w:ascii="Arial" w:cs="Arial" w:hAnsi="Arial"/>
          <w:color w:val="000000"/>
          <w:sz w:val="24"/>
          <w:szCs w:val="24"/>
          <w:lang w:val="id-ID"/>
        </w:rPr>
      </w:pPr>
      <w:r>
        <w:rPr>
          <w:rFonts w:ascii="Arial" w:cs="Arial" w:hAnsi="Arial"/>
          <w:color w:val="000000"/>
          <w:sz w:val="24"/>
          <w:szCs w:val="24"/>
          <w:lang w:val="id-ID"/>
        </w:rPr>
        <w:t xml:space="preserve">Tidak ada kemampuan untuk mendeteksi perjalanan berkas perkara yang dikirim dari pengadilan pengaju ke Mahkamah Agung. Kepaniteraan tidak bisa mengetahui apakah suatu berkas perkara sudah diterima di MA sampai dengan berkas tersebut diserahkan Biro Umum ke Kepaniteraan. (Tidak ada kemampuan untuk mengontrol laju perjalanan perkara yg dikirim dari PN ke MA). </w:t>
      </w:r>
      <w:r>
        <w:rPr>
          <w:rFonts w:ascii="Arial" w:cs="Arial" w:hAnsi="Arial"/>
          <w:color w:val="000000"/>
          <w:sz w:val="24"/>
          <w:szCs w:val="24"/>
          <w:lang w:val="id-ID"/>
        </w:rPr>
        <w:t>Pemilahan dokumen yang masuk di Biro Umum bisa memakan waktu lama, penyebabnya adalah seluruh dokumen yang masuk ke MA, baik surat umum maupun berkas perkara, akan diterima oleh Biro Umum. Selanjutnya Biro umum akan memilah kembali dokumen untuk diserahkan ke satker yang dituju. Tidak ada perbedaan fisik antara berkas perkara dan</w:t>
      </w:r>
      <w:r>
        <w:rPr>
          <w:rFonts w:ascii="Arial" w:cs="Arial" w:hAnsi="Arial"/>
          <w:color w:val="000000"/>
          <w:sz w:val="24"/>
          <w:szCs w:val="24"/>
        </w:rPr>
        <w:t>;</w:t>
      </w:r>
    </w:p>
    <w:p>
      <w:pPr>
        <w:pStyle w:val="style0"/>
        <w:numPr>
          <w:ilvl w:val="0"/>
          <w:numId w:val="13"/>
        </w:numPr>
        <w:autoSpaceDE w:val="false"/>
        <w:autoSpaceDN w:val="false"/>
        <w:adjustRightInd w:val="false"/>
        <w:ind w:left="567" w:hanging="207"/>
        <w:jc w:val="both"/>
        <w:rPr>
          <w:rFonts w:ascii="Arial" w:cs="Arial" w:hAnsi="Arial"/>
          <w:color w:val="000000"/>
          <w:sz w:val="24"/>
          <w:szCs w:val="24"/>
          <w:lang w:val="id-ID"/>
        </w:rPr>
      </w:pPr>
      <w:r>
        <w:rPr>
          <w:rFonts w:ascii="Arial" w:cs="Arial" w:hAnsi="Arial"/>
          <w:color w:val="000000"/>
          <w:sz w:val="24"/>
          <w:szCs w:val="24"/>
          <w:lang w:val="id-ID"/>
        </w:rPr>
        <w:t>Pencatatan dokumen yang diterima oleh Biro Umum bisa memakan waktu yang lama. Tidak ada kemampuan untuk mengontrol secara efektif proses perjalanan perkara yang diterima di Mahkamah Agung dari biro umum sampai registrasi. Berkas sering rusak dalam perjalanan, penyebabnya adalah pada proses penerimaan perkara, sistem komunikasi data belum dimanfaatkan oleh Biro Umum dan Pratalak.  Sistem informasi perkara yang ada belum terintegrasi dengan sistem informasi penerimaan berkas</w:t>
      </w:r>
      <w:r>
        <w:rPr>
          <w:rFonts w:ascii="Arial" w:cs="Arial" w:hAnsi="Arial"/>
          <w:color w:val="000000"/>
          <w:sz w:val="24"/>
          <w:szCs w:val="24"/>
        </w:rPr>
        <w:t>;</w:t>
      </w:r>
    </w:p>
    <w:p>
      <w:pPr>
        <w:pStyle w:val="style0"/>
        <w:numPr>
          <w:ilvl w:val="0"/>
          <w:numId w:val="13"/>
        </w:numPr>
        <w:autoSpaceDE w:val="false"/>
        <w:autoSpaceDN w:val="false"/>
        <w:adjustRightInd w:val="false"/>
        <w:ind w:left="567" w:hanging="207"/>
        <w:jc w:val="both"/>
        <w:rPr>
          <w:rFonts w:ascii="Arial" w:cs="Arial" w:hAnsi="Arial"/>
          <w:color w:val="000000"/>
          <w:sz w:val="24"/>
          <w:szCs w:val="24"/>
          <w:lang w:val="id-ID"/>
        </w:rPr>
      </w:pPr>
      <w:r>
        <w:rPr>
          <w:rFonts w:ascii="Arial" w:cs="Arial" w:hAnsi="Arial"/>
          <w:color w:val="000000"/>
          <w:sz w:val="24"/>
          <w:szCs w:val="24"/>
          <w:lang w:val="id-ID"/>
        </w:rPr>
        <w:t>Penyampaian berkas perkara ke kepaniteraan memakan waktu yang lama, penyebab</w:t>
      </w:r>
      <w:r>
        <w:rPr>
          <w:rFonts w:ascii="Arial" w:cs="Arial" w:hAnsi="Arial"/>
          <w:color w:val="000000"/>
          <w:sz w:val="24"/>
          <w:szCs w:val="24"/>
        </w:rPr>
        <w:t>n</w:t>
      </w:r>
      <w:r>
        <w:rPr>
          <w:rFonts w:ascii="Arial" w:cs="Arial" w:hAnsi="Arial"/>
          <w:color w:val="000000"/>
          <w:sz w:val="24"/>
          <w:szCs w:val="24"/>
          <w:lang w:val="id-ID"/>
        </w:rPr>
        <w:t>ya adalah terpisahnya unit kerja yang bertanggung jawab menerima berkas dan melakukan penelaahan kelengkapan dengan kepaniteraan</w:t>
      </w:r>
      <w:r>
        <w:rPr>
          <w:rFonts w:ascii="Arial" w:cs="Arial" w:hAnsi="Arial"/>
          <w:color w:val="000000"/>
          <w:sz w:val="24"/>
          <w:szCs w:val="24"/>
        </w:rPr>
        <w:t>;</w:t>
      </w:r>
    </w:p>
    <w:p>
      <w:pPr>
        <w:pStyle w:val="style0"/>
        <w:numPr>
          <w:ilvl w:val="0"/>
          <w:numId w:val="13"/>
        </w:numPr>
        <w:autoSpaceDE w:val="false"/>
        <w:autoSpaceDN w:val="false"/>
        <w:adjustRightInd w:val="false"/>
        <w:ind w:left="567" w:hanging="207"/>
        <w:jc w:val="both"/>
        <w:rPr>
          <w:rFonts w:ascii="Arial" w:cs="Arial" w:hAnsi="Arial"/>
          <w:color w:val="000000"/>
          <w:sz w:val="24"/>
          <w:szCs w:val="24"/>
          <w:lang w:val="id-ID"/>
        </w:rPr>
      </w:pPr>
      <w:r>
        <w:rPr>
          <w:rFonts w:ascii="Arial" w:cs="Arial" w:hAnsi="Arial"/>
          <w:color w:val="000000"/>
          <w:sz w:val="24"/>
          <w:szCs w:val="24"/>
          <w:lang w:val="id-ID"/>
        </w:rPr>
        <w:t>Sulit untuk mendeteksi keberadaan suatu berkas perkara, penyebabnya adalah sistem penggunaan buku ekspedisi dirasakan masih belum efektif. Dokumen tercecer dalam perjalanan dari Biro Umum – Pratalak – Kepaniteraan</w:t>
      </w:r>
      <w:r>
        <w:rPr>
          <w:rFonts w:ascii="Arial" w:cs="Arial" w:hAnsi="Arial"/>
          <w:color w:val="000000"/>
          <w:sz w:val="24"/>
          <w:szCs w:val="24"/>
        </w:rPr>
        <w:t>;</w:t>
      </w:r>
    </w:p>
    <w:p>
      <w:pPr>
        <w:pStyle w:val="style0"/>
        <w:numPr>
          <w:ilvl w:val="0"/>
          <w:numId w:val="13"/>
        </w:numPr>
        <w:autoSpaceDE w:val="false"/>
        <w:autoSpaceDN w:val="false"/>
        <w:adjustRightInd w:val="false"/>
        <w:ind w:left="567" w:hanging="207"/>
        <w:jc w:val="both"/>
        <w:rPr>
          <w:rFonts w:ascii="Arial" w:cs="Arial" w:hAnsi="Arial"/>
          <w:color w:val="000000"/>
          <w:sz w:val="24"/>
          <w:szCs w:val="24"/>
          <w:lang w:val="id-ID"/>
        </w:rPr>
      </w:pPr>
      <w:r>
        <w:rPr>
          <w:rFonts w:ascii="Arial" w:cs="Arial" w:hAnsi="Arial"/>
          <w:color w:val="000000"/>
          <w:sz w:val="24"/>
          <w:szCs w:val="24"/>
          <w:lang w:val="id-ID"/>
        </w:rPr>
        <w:t>Penyampaian dokumen dari Biro Umum – Pratalak – Kepaniteraan memakan waktu yang lama, penyebanya adalah Infrastruktur yang timpang antara kepaniteraan dan pranata. Jarak yang jauh antara Biro Umum – Pratalak – Kepaniteraan</w:t>
      </w:r>
      <w:r>
        <w:rPr>
          <w:rFonts w:ascii="Arial" w:cs="Arial" w:hAnsi="Arial"/>
          <w:color w:val="000000"/>
          <w:sz w:val="24"/>
          <w:szCs w:val="24"/>
        </w:rPr>
        <w:t>;</w:t>
      </w:r>
    </w:p>
    <w:p>
      <w:pPr>
        <w:pStyle w:val="style0"/>
        <w:numPr>
          <w:ilvl w:val="0"/>
          <w:numId w:val="13"/>
        </w:numPr>
        <w:autoSpaceDE w:val="false"/>
        <w:autoSpaceDN w:val="false"/>
        <w:adjustRightInd w:val="false"/>
        <w:ind w:left="567" w:hanging="210"/>
        <w:jc w:val="both"/>
        <w:rPr>
          <w:rFonts w:ascii="Arial" w:cs="Arial" w:hAnsi="Arial"/>
          <w:color w:val="000000"/>
          <w:sz w:val="24"/>
          <w:szCs w:val="24"/>
          <w:lang w:val="id-ID"/>
        </w:rPr>
      </w:pPr>
      <w:r>
        <w:rPr>
          <w:rFonts w:ascii="Arial" w:cs="Arial" w:hAnsi="Arial"/>
          <w:color w:val="000000"/>
          <w:sz w:val="24"/>
          <w:szCs w:val="24"/>
          <w:lang w:val="id-ID"/>
        </w:rPr>
        <w:t xml:space="preserve">Masih banyak terjadi kesalahan pada berkas yang dikirim dari pengadilan (berkas yang tidak semestinya dikirim kekurangan berkas), penyebanya adalah pemahaman teknis staf pengadilan tingkat pertama yang bervariasi. Kurangnya pelatihan khusus mengenai administrasi </w:t>
      </w:r>
      <w:r>
        <w:rPr>
          <w:rFonts w:ascii="Arial" w:cs="Arial" w:hAnsi="Arial"/>
          <w:color w:val="000000"/>
          <w:sz w:val="24"/>
          <w:szCs w:val="24"/>
          <w:lang w:val="id-ID"/>
        </w:rPr>
        <w:t>pengadilan bagi staf pengadilan tingkat pertama</w:t>
      </w:r>
      <w:r>
        <w:rPr>
          <w:rFonts w:ascii="Arial" w:cs="Arial" w:hAnsi="Arial"/>
          <w:color w:val="000000"/>
          <w:sz w:val="24"/>
          <w:szCs w:val="24"/>
        </w:rPr>
        <w:t>;</w:t>
      </w:r>
    </w:p>
    <w:p>
      <w:pPr>
        <w:pStyle w:val="style0"/>
        <w:numPr>
          <w:ilvl w:val="0"/>
          <w:numId w:val="13"/>
        </w:numPr>
        <w:autoSpaceDE w:val="false"/>
        <w:autoSpaceDN w:val="false"/>
        <w:adjustRightInd w:val="false"/>
        <w:ind w:left="567" w:hanging="210"/>
        <w:jc w:val="both"/>
        <w:rPr>
          <w:rFonts w:ascii="Arial" w:cs="Arial" w:hAnsi="Arial"/>
          <w:color w:val="000000"/>
          <w:sz w:val="24"/>
          <w:szCs w:val="24"/>
          <w:lang w:val="id-ID"/>
        </w:rPr>
      </w:pPr>
      <w:r>
        <w:rPr>
          <w:rFonts w:ascii="Arial" w:cs="Arial" w:hAnsi="Arial"/>
          <w:color w:val="000000"/>
          <w:sz w:val="24"/>
          <w:szCs w:val="24"/>
          <w:lang w:val="id-ID"/>
        </w:rPr>
        <w:t xml:space="preserve">Penggunaan Sistem Komunikasi Data oleh pengadilan tingkat pertama belum sepenuhnya efektif. (Partisipasi tinggi, namun belum ada data mengenai </w:t>
      </w:r>
      <w:r>
        <w:rPr>
          <w:rFonts w:ascii="Arial" w:cs="Arial" w:hAnsi="Arial"/>
          <w:i/>
          <w:color w:val="000000"/>
          <w:sz w:val="24"/>
          <w:szCs w:val="24"/>
          <w:lang w:val="id-ID"/>
        </w:rPr>
        <w:t>compliance</w:t>
      </w:r>
      <w:r>
        <w:rPr>
          <w:rFonts w:ascii="Arial" w:cs="Arial" w:hAnsi="Arial"/>
          <w:color w:val="000000"/>
          <w:sz w:val="24"/>
          <w:szCs w:val="24"/>
          <w:lang w:val="id-ID"/>
        </w:rPr>
        <w:t xml:space="preserve">), penyebabnya adalah Tidak ada mekanisme </w:t>
      </w:r>
      <w:r>
        <w:rPr>
          <w:rFonts w:ascii="Arial" w:cs="Arial" w:hAnsi="Arial"/>
          <w:i/>
          <w:color w:val="000000"/>
          <w:sz w:val="24"/>
          <w:szCs w:val="24"/>
          <w:lang w:val="id-ID"/>
        </w:rPr>
        <w:t>reward and punishment</w:t>
      </w:r>
      <w:r>
        <w:rPr>
          <w:rFonts w:ascii="Arial" w:cs="Arial" w:hAnsi="Arial"/>
          <w:color w:val="000000"/>
          <w:sz w:val="24"/>
          <w:szCs w:val="24"/>
          <w:lang w:val="id-ID"/>
        </w:rPr>
        <w:t xml:space="preserve"> bagi pengadilan tingkat pertama dalam kinerjanya melakukan pengiriman berkas.</w:t>
      </w:r>
    </w:p>
    <w:p>
      <w:pPr>
        <w:pStyle w:val="style0"/>
        <w:autoSpaceDE w:val="false"/>
        <w:autoSpaceDN w:val="false"/>
        <w:adjustRightInd w:val="false"/>
        <w:ind w:firstLine="720"/>
        <w:jc w:val="both"/>
        <w:rPr>
          <w:rFonts w:ascii="Arial" w:cs="Arial" w:hAnsi="Arial"/>
          <w:color w:val="000000"/>
          <w:sz w:val="24"/>
          <w:szCs w:val="24"/>
        </w:rPr>
      </w:pPr>
      <w:r>
        <w:rPr>
          <w:rFonts w:ascii="Arial" w:cs="Arial" w:hAnsi="Arial"/>
          <w:color w:val="000000"/>
          <w:sz w:val="24"/>
          <w:szCs w:val="24"/>
          <w:lang w:val="id-ID"/>
        </w:rPr>
        <w:t>Permasalahan yang berkenaan dengan pemeriksaan dan putusan, disebutkan, bahwa:</w:t>
      </w:r>
      <w:r>
        <w:rPr>
          <w:rFonts w:ascii="Arial" w:cs="Arial" w:hAnsi="Arial"/>
          <w:color w:val="000000"/>
          <w:sz w:val="24"/>
          <w:szCs w:val="24"/>
        </w:rPr>
        <w:t xml:space="preserve">  </w:t>
      </w:r>
    </w:p>
    <w:p>
      <w:pPr>
        <w:pStyle w:val="style0"/>
        <w:autoSpaceDE w:val="false"/>
        <w:autoSpaceDN w:val="false"/>
        <w:adjustRightInd w:val="false"/>
        <w:ind w:left="425"/>
        <w:jc w:val="both"/>
        <w:rPr>
          <w:rFonts w:ascii="Arial" w:cs="Arial" w:hAnsi="Arial"/>
          <w:color w:val="000000"/>
          <w:sz w:val="24"/>
          <w:szCs w:val="24"/>
        </w:rPr>
      </w:pPr>
      <w:r>
        <w:rPr>
          <w:rFonts w:ascii="Arial" w:cs="Arial" w:hAnsi="Arial"/>
          <w:color w:val="000000"/>
          <w:sz w:val="24"/>
          <w:szCs w:val="24"/>
          <w:lang w:val="id-ID"/>
        </w:rPr>
        <w:t>Kinerja memutus perkara tidak sebanding dengan beban perkara masuk, penyebabnya adalah  belum ada kemampuan melaporkan secara detail posisi perkara (sistem informasi baru mencapai Ketua Kamar/Ketua Tim) Tidak ada jadwal sidang yang tetap, dan terhadap perkara- tidak ada kepastian, tentang kapan persidangan akan dilaksanakan</w:t>
      </w:r>
      <w:r>
        <w:rPr>
          <w:rFonts w:ascii="Arial" w:cs="Arial" w:hAnsi="Arial"/>
          <w:color w:val="000000"/>
          <w:sz w:val="24"/>
          <w:szCs w:val="24"/>
        </w:rPr>
        <w:t xml:space="preserve">;  </w:t>
      </w:r>
      <w:r>
        <w:rPr>
          <w:rFonts w:ascii="Arial" w:cs="Arial" w:hAnsi="Arial"/>
          <w:color w:val="000000"/>
          <w:sz w:val="24"/>
          <w:szCs w:val="24"/>
          <w:lang w:val="id-ID"/>
        </w:rPr>
        <w:t>Diduga masih ada berkas yang rusak, hilang, terselip, karena proses peredaran</w:t>
      </w:r>
      <w:r>
        <w:rPr>
          <w:rFonts w:ascii="Arial" w:cs="Arial" w:hAnsi="Arial"/>
          <w:color w:val="000000"/>
          <w:sz w:val="24"/>
          <w:szCs w:val="24"/>
        </w:rPr>
        <w:t xml:space="preserve">;  </w:t>
      </w:r>
      <w:r>
        <w:rPr>
          <w:rFonts w:ascii="Arial" w:cs="Arial" w:hAnsi="Arial"/>
          <w:color w:val="000000"/>
          <w:sz w:val="24"/>
          <w:szCs w:val="24"/>
          <w:lang w:val="id-ID"/>
        </w:rPr>
        <w:t>Sulit mengontrol dan mengidentifikasi keberadaan dan kemajuan perkembangan proses memeriksa dan memutus, penyebabnya adalah proses pemeriksaan perkara oleh majelis hakim sangat bergantung pada berkas fisik.  Tidak ada sistem yang mencatat status pemeriksaan perkara di tingkat majelis</w:t>
      </w:r>
      <w:r>
        <w:rPr>
          <w:rFonts w:ascii="Arial" w:cs="Arial" w:hAnsi="Arial"/>
          <w:color w:val="000000"/>
          <w:sz w:val="24"/>
          <w:szCs w:val="24"/>
        </w:rPr>
        <w:t xml:space="preserve">;  </w:t>
      </w:r>
      <w:r>
        <w:rPr>
          <w:rFonts w:ascii="Arial" w:cs="Arial" w:hAnsi="Arial"/>
          <w:color w:val="000000"/>
          <w:sz w:val="24"/>
          <w:szCs w:val="24"/>
          <w:lang w:val="id-ID"/>
        </w:rPr>
        <w:t>Proses pemeriksaan perkara memakan waktu yang sangat lama penyebabnya adalah proses memeriksa, memutus yang masih menggunakan model pembaca bergiliran.</w:t>
      </w:r>
      <w:r>
        <w:rPr>
          <w:rFonts w:ascii="Arial" w:cs="Arial" w:hAnsi="Arial"/>
          <w:color w:val="000000"/>
          <w:sz w:val="24"/>
          <w:szCs w:val="24"/>
        </w:rPr>
        <w:t xml:space="preserve">  </w:t>
      </w:r>
      <w:r>
        <w:rPr>
          <w:rFonts w:ascii="Arial" w:cs="Arial" w:hAnsi="Arial"/>
          <w:color w:val="000000"/>
          <w:sz w:val="24"/>
          <w:szCs w:val="24"/>
          <w:lang w:val="id-ID"/>
        </w:rPr>
        <w:t>Masih ada disparitas putusan atas perkara perkara sejenis oleh majelis yang berbeda-beda, penyebabnya adalah tidak ada sistem yang mengklasifikasi berkas perkara / putusan pengadilan yang ada.</w:t>
      </w:r>
    </w:p>
    <w:p>
      <w:pPr>
        <w:pStyle w:val="style0"/>
        <w:ind w:firstLine="720"/>
        <w:jc w:val="both"/>
        <w:rPr>
          <w:rFonts w:ascii="Arial" w:cs="Arial" w:hAnsi="Arial"/>
          <w:sz w:val="24"/>
          <w:szCs w:val="24"/>
          <w:lang w:val="id-ID"/>
        </w:rPr>
      </w:pPr>
      <w:r>
        <w:rPr>
          <w:rFonts w:ascii="Arial" w:cs="Arial" w:hAnsi="Arial"/>
          <w:sz w:val="24"/>
          <w:szCs w:val="24"/>
          <w:lang w:val="id-ID"/>
        </w:rPr>
        <w:t xml:space="preserve">Penggunaan teknologi informasi pada saat ini merupakan suatu keharusan dan mudah  mempergunakannya karena hampir semua masyarakat sudah mempunyai alat yang mudah dibawa kemana-mana, diantaranya hand phone (hp), laptop, gadget dan lain-lain, yang dapat terhubung pada koneksi internet. Penggunaan alat-alat tersebut diatas, pada saat ini sudah menjadi budaya yang </w:t>
      </w:r>
      <w:r>
        <w:rPr>
          <w:rFonts w:ascii="Arial" w:cs="Arial" w:hAnsi="Arial"/>
          <w:sz w:val="24"/>
          <w:szCs w:val="24"/>
          <w:lang w:val="id-ID"/>
        </w:rPr>
        <w:t>menyatu dalam kehidupan sehari-hari masyarakat, sehingga pelayanan publik yang diselenggarakan pemerintah juga dapat memaksimalkan manfaat positifnya, diantaranya memudahkan masyarakat dalam menjalankan aktifitas sehari-hari, terutama yang berurusan dengan perkara hukum.</w:t>
      </w:r>
    </w:p>
    <w:p>
      <w:pPr>
        <w:pStyle w:val="style0"/>
        <w:ind w:firstLine="720"/>
        <w:jc w:val="both"/>
        <w:rPr>
          <w:rFonts w:ascii="Arial" w:cs="Arial" w:hAnsi="Arial"/>
          <w:sz w:val="24"/>
          <w:szCs w:val="24"/>
          <w:lang w:val="id-ID"/>
        </w:rPr>
      </w:pPr>
    </w:p>
    <w:p>
      <w:pPr>
        <w:pStyle w:val="style0"/>
        <w:rPr>
          <w:rFonts w:ascii="Arial" w:cs="Arial" w:hAnsi="Arial"/>
          <w:b/>
          <w:color w:val="000000"/>
          <w:sz w:val="24"/>
          <w:szCs w:val="24"/>
          <w:lang w:val="id-ID"/>
        </w:rPr>
      </w:pPr>
      <w:r>
        <w:rPr>
          <w:rFonts w:ascii="Arial" w:cs="Arial" w:hAnsi="Arial"/>
          <w:b/>
          <w:color w:val="000000"/>
          <w:sz w:val="24"/>
          <w:szCs w:val="24"/>
          <w:lang w:val="id-ID"/>
        </w:rPr>
        <w:t xml:space="preserve">Kelembagaan </w:t>
      </w:r>
      <w:r>
        <w:rPr>
          <w:rFonts w:ascii="Arial" w:cs="Arial" w:hAnsi="Arial"/>
          <w:b/>
          <w:color w:val="000000"/>
          <w:sz w:val="24"/>
          <w:szCs w:val="24"/>
        </w:rPr>
        <w:t>dan Pendekatan Sistem</w:t>
      </w:r>
    </w:p>
    <w:p>
      <w:pPr>
        <w:pStyle w:val="style0"/>
        <w:autoSpaceDE w:val="false"/>
        <w:autoSpaceDN w:val="false"/>
        <w:adjustRightInd w:val="false"/>
        <w:ind w:firstLine="709"/>
        <w:jc w:val="both"/>
        <w:rPr>
          <w:rFonts w:ascii="Arial" w:cs="Arial" w:hAnsi="Arial"/>
          <w:color w:val="000000"/>
          <w:sz w:val="24"/>
          <w:szCs w:val="24"/>
          <w:lang w:val="id-ID"/>
        </w:rPr>
      </w:pPr>
      <w:r>
        <w:rPr>
          <w:rFonts w:ascii="Arial" w:cs="Arial" w:hAnsi="Arial"/>
          <w:color w:val="000000"/>
          <w:sz w:val="24"/>
          <w:szCs w:val="24"/>
          <w:lang w:val="id-ID"/>
        </w:rPr>
        <w:t xml:space="preserve">Dalam Kamus Besar Bahasa Indonesia, dijelaskan mengenai istilah lembaga dan kelembagaan, yakni; </w:t>
      </w:r>
    </w:p>
    <w:p>
      <w:pPr>
        <w:pStyle w:val="style0"/>
        <w:autoSpaceDE w:val="false"/>
        <w:autoSpaceDN w:val="false"/>
        <w:adjustRightInd w:val="false"/>
        <w:ind w:left="426"/>
        <w:jc w:val="both"/>
        <w:rPr>
          <w:rFonts w:ascii="Arial" w:cs="Arial" w:hAnsi="Arial"/>
          <w:color w:val="000000"/>
          <w:sz w:val="24"/>
          <w:szCs w:val="24"/>
          <w:lang w:val="id-ID"/>
        </w:rPr>
      </w:pPr>
      <w:r>
        <w:rPr>
          <w:rFonts w:ascii="Arial" w:cs="Arial" w:hAnsi="Arial"/>
          <w:b/>
          <w:bCs/>
          <w:i/>
          <w:color w:val="000000"/>
          <w:sz w:val="24"/>
          <w:szCs w:val="24"/>
        </w:rPr>
        <w:t>lem·ba·ga</w:t>
      </w:r>
      <w:r>
        <w:rPr>
          <w:rFonts w:ascii="Arial" w:cs="Arial" w:hAnsi="Arial"/>
          <w:i/>
          <w:color w:val="000000"/>
          <w:sz w:val="24"/>
          <w:szCs w:val="24"/>
        </w:rPr>
        <w:t xml:space="preserve"> </w:t>
      </w:r>
      <w:r>
        <w:rPr>
          <w:rFonts w:ascii="Arial" w:cs="Arial" w:hAnsi="Arial"/>
          <w:iCs/>
          <w:color w:val="000000"/>
          <w:sz w:val="24"/>
          <w:szCs w:val="24"/>
        </w:rPr>
        <w:t>n</w:t>
      </w:r>
      <w:r>
        <w:rPr>
          <w:rFonts w:ascii="Arial" w:cs="Arial" w:hAnsi="Arial"/>
          <w:i/>
          <w:color w:val="000000"/>
          <w:sz w:val="24"/>
          <w:szCs w:val="24"/>
        </w:rPr>
        <w:t xml:space="preserve"> </w:t>
      </w:r>
      <w:r>
        <w:rPr>
          <w:rFonts w:ascii="Arial" w:cs="Arial" w:hAnsi="Arial"/>
          <w:b/>
          <w:bCs/>
          <w:i/>
          <w:color w:val="000000"/>
          <w:sz w:val="24"/>
          <w:szCs w:val="24"/>
        </w:rPr>
        <w:t>1</w:t>
      </w:r>
      <w:r>
        <w:rPr>
          <w:rFonts w:ascii="Arial" w:cs="Arial" w:hAnsi="Arial"/>
          <w:i/>
          <w:color w:val="000000"/>
          <w:sz w:val="24"/>
          <w:szCs w:val="24"/>
        </w:rPr>
        <w:t xml:space="preserve"> asal mula (yang akan menjadi sesuatu); bakal (binatang, manusia, atau tumbuhan); </w:t>
      </w:r>
      <w:r>
        <w:rPr>
          <w:rFonts w:ascii="Arial" w:cs="Arial" w:hAnsi="Arial"/>
          <w:b/>
          <w:bCs/>
          <w:i/>
          <w:color w:val="000000"/>
          <w:sz w:val="24"/>
          <w:szCs w:val="24"/>
        </w:rPr>
        <w:t>2</w:t>
      </w:r>
      <w:r>
        <w:rPr>
          <w:rFonts w:ascii="Arial" w:cs="Arial" w:hAnsi="Arial"/>
          <w:i/>
          <w:color w:val="000000"/>
          <w:sz w:val="24"/>
          <w:szCs w:val="24"/>
        </w:rPr>
        <w:t xml:space="preserve"> bentuk (rupa, wujud) yang asli; </w:t>
      </w:r>
      <w:r>
        <w:rPr>
          <w:rFonts w:ascii="Arial" w:cs="Arial" w:hAnsi="Arial"/>
          <w:b/>
          <w:bCs/>
          <w:i/>
          <w:color w:val="000000"/>
          <w:sz w:val="24"/>
          <w:szCs w:val="24"/>
        </w:rPr>
        <w:t>3</w:t>
      </w:r>
      <w:r>
        <w:rPr>
          <w:rFonts w:ascii="Arial" w:cs="Arial" w:hAnsi="Arial"/>
          <w:i/>
          <w:color w:val="000000"/>
          <w:sz w:val="24"/>
          <w:szCs w:val="24"/>
        </w:rPr>
        <w:t xml:space="preserve"> acuan; ikatan (tentang mata cincin dan sebagainya); </w:t>
      </w:r>
      <w:r>
        <w:rPr>
          <w:rFonts w:ascii="Arial" w:cs="Arial" w:hAnsi="Arial"/>
          <w:b/>
          <w:bCs/>
          <w:i/>
          <w:color w:val="000000"/>
          <w:sz w:val="24"/>
          <w:szCs w:val="24"/>
        </w:rPr>
        <w:t>4</w:t>
      </w:r>
      <w:r>
        <w:rPr>
          <w:rFonts w:ascii="Arial" w:cs="Arial" w:hAnsi="Arial"/>
          <w:i/>
          <w:color w:val="000000"/>
          <w:sz w:val="24"/>
          <w:szCs w:val="24"/>
        </w:rPr>
        <w:t xml:space="preserve"> badan (organisasi) yang tujuannya melakukan suatu penyelidikan keilmuan atau melakukan suatu usaha; </w:t>
      </w:r>
      <w:r>
        <w:rPr>
          <w:rFonts w:ascii="Arial" w:cs="Arial" w:hAnsi="Arial"/>
          <w:b/>
          <w:bCs/>
          <w:i/>
          <w:color w:val="000000"/>
          <w:sz w:val="24"/>
          <w:szCs w:val="24"/>
        </w:rPr>
        <w:t>5</w:t>
      </w:r>
      <w:r>
        <w:rPr>
          <w:rFonts w:ascii="Arial" w:cs="Arial" w:hAnsi="Arial"/>
          <w:i/>
          <w:color w:val="000000"/>
          <w:sz w:val="24"/>
          <w:szCs w:val="24"/>
        </w:rPr>
        <w:t xml:space="preserve"> </w:t>
      </w:r>
      <w:r>
        <w:rPr>
          <w:rFonts w:ascii="Arial" w:cs="Arial" w:hAnsi="Arial"/>
          <w:iCs/>
          <w:color w:val="000000"/>
          <w:sz w:val="24"/>
          <w:szCs w:val="24"/>
        </w:rPr>
        <w:t>ark</w:t>
      </w:r>
      <w:r>
        <w:rPr>
          <w:rFonts w:ascii="Arial" w:cs="Arial" w:hAnsi="Arial"/>
          <w:i/>
          <w:color w:val="000000"/>
          <w:sz w:val="24"/>
          <w:szCs w:val="24"/>
        </w:rPr>
        <w:t xml:space="preserve"> kepala suku (di Negeri Sembilan); </w:t>
      </w:r>
      <w:r>
        <w:rPr>
          <w:rFonts w:ascii="Arial" w:cs="Arial" w:hAnsi="Arial"/>
          <w:b/>
          <w:bCs/>
          <w:i/>
          <w:color w:val="000000"/>
          <w:sz w:val="24"/>
          <w:szCs w:val="24"/>
        </w:rPr>
        <w:t>6</w:t>
      </w:r>
      <w:r>
        <w:rPr>
          <w:rFonts w:ascii="Arial" w:cs="Arial" w:hAnsi="Arial"/>
          <w:i/>
          <w:color w:val="000000"/>
          <w:sz w:val="24"/>
          <w:szCs w:val="24"/>
        </w:rPr>
        <w:t xml:space="preserve"> pola perilaku manusia yang mapan, terdiri atas interaksi sosial berstruktur dalam suatu kerangka nilai yang relevan;</w:t>
      </w:r>
      <w:r>
        <w:rPr>
          <w:rFonts w:ascii="Arial" w:cs="Arial" w:hAnsi="Arial"/>
          <w:iCs/>
          <w:color w:val="000000"/>
          <w:sz w:val="24"/>
          <w:szCs w:val="24"/>
        </w:rPr>
        <w:t>adat diisi -- dituang, pb</w:t>
      </w:r>
      <w:r>
        <w:rPr>
          <w:rFonts w:ascii="Arial" w:cs="Arial" w:hAnsi="Arial"/>
          <w:i/>
          <w:color w:val="000000"/>
          <w:sz w:val="24"/>
          <w:szCs w:val="24"/>
        </w:rPr>
        <w:t xml:space="preserve"> hendaklah segala sesuatu dilakukan menurut kebiasaan;</w:t>
      </w:r>
      <w:r>
        <w:rPr>
          <w:rFonts w:ascii="Arial" w:cs="Arial" w:hAnsi="Arial"/>
          <w:i/>
          <w:color w:val="000000"/>
          <w:sz w:val="24"/>
          <w:szCs w:val="24"/>
          <w:lang w:val="id-ID"/>
        </w:rPr>
        <w:t xml:space="preserve"> </w:t>
      </w:r>
      <w:r>
        <w:rPr>
          <w:rFonts w:ascii="Arial" w:cs="Arial" w:hAnsi="Arial"/>
          <w:b/>
          <w:bCs/>
          <w:i/>
          <w:color w:val="000000"/>
          <w:sz w:val="24"/>
          <w:szCs w:val="24"/>
        </w:rPr>
        <w:t>ber·lem·ba·ga</w:t>
      </w:r>
      <w:r>
        <w:rPr>
          <w:rFonts w:ascii="Arial" w:cs="Arial" w:hAnsi="Arial"/>
          <w:i/>
          <w:color w:val="000000"/>
          <w:sz w:val="24"/>
          <w:szCs w:val="24"/>
        </w:rPr>
        <w:t xml:space="preserve"> </w:t>
      </w:r>
      <w:r>
        <w:rPr>
          <w:rFonts w:ascii="Arial" w:cs="Arial" w:hAnsi="Arial"/>
          <w:iCs/>
          <w:color w:val="000000"/>
          <w:sz w:val="24"/>
          <w:szCs w:val="24"/>
        </w:rPr>
        <w:t>v</w:t>
      </w:r>
      <w:r>
        <w:rPr>
          <w:rFonts w:ascii="Arial" w:cs="Arial" w:hAnsi="Arial"/>
          <w:i/>
          <w:color w:val="000000"/>
          <w:sz w:val="24"/>
          <w:szCs w:val="24"/>
        </w:rPr>
        <w:t xml:space="preserve"> mempunyai organisasi yang bersifat lembaga;</w:t>
      </w:r>
      <w:r>
        <w:rPr>
          <w:rFonts w:ascii="Arial" w:cs="Arial" w:hAnsi="Arial"/>
          <w:i/>
          <w:color w:val="000000"/>
          <w:sz w:val="24"/>
          <w:szCs w:val="24"/>
          <w:lang w:val="id-ID"/>
        </w:rPr>
        <w:t xml:space="preserve"> </w:t>
      </w:r>
      <w:r>
        <w:rPr>
          <w:rFonts w:ascii="Arial" w:cs="Arial" w:hAnsi="Arial"/>
          <w:b/>
          <w:bCs/>
          <w:i/>
          <w:color w:val="000000"/>
          <w:sz w:val="24"/>
          <w:szCs w:val="24"/>
        </w:rPr>
        <w:t>me·lem·ba·ga</w:t>
      </w:r>
      <w:r>
        <w:rPr>
          <w:rFonts w:ascii="Arial" w:cs="Arial" w:hAnsi="Arial"/>
          <w:i/>
          <w:color w:val="000000"/>
          <w:sz w:val="24"/>
          <w:szCs w:val="24"/>
        </w:rPr>
        <w:t xml:space="preserve"> </w:t>
      </w:r>
      <w:r>
        <w:rPr>
          <w:rFonts w:ascii="Arial" w:cs="Arial" w:hAnsi="Arial"/>
          <w:iCs/>
          <w:color w:val="000000"/>
          <w:sz w:val="24"/>
          <w:szCs w:val="24"/>
        </w:rPr>
        <w:t>v</w:t>
      </w:r>
      <w:r>
        <w:rPr>
          <w:rFonts w:ascii="Arial" w:cs="Arial" w:hAnsi="Arial"/>
          <w:i/>
          <w:color w:val="000000"/>
          <w:sz w:val="24"/>
          <w:szCs w:val="24"/>
        </w:rPr>
        <w:t xml:space="preserve"> berbentuk (menyerupai) lembaga;</w:t>
      </w:r>
      <w:r>
        <w:rPr>
          <w:rFonts w:ascii="Arial" w:cs="Arial" w:hAnsi="Arial"/>
          <w:i/>
          <w:color w:val="000000"/>
          <w:sz w:val="24"/>
          <w:szCs w:val="24"/>
          <w:lang w:val="id-ID"/>
        </w:rPr>
        <w:t xml:space="preserve"> </w:t>
      </w:r>
      <w:r>
        <w:rPr>
          <w:rFonts w:ascii="Arial" w:cs="Arial" w:hAnsi="Arial"/>
          <w:b/>
          <w:bCs/>
          <w:i/>
          <w:color w:val="000000"/>
          <w:sz w:val="24"/>
          <w:szCs w:val="24"/>
        </w:rPr>
        <w:t>me·lem·ba·ga·kan</w:t>
      </w:r>
      <w:r>
        <w:rPr>
          <w:rFonts w:ascii="Arial" w:cs="Arial" w:hAnsi="Arial"/>
          <w:i/>
          <w:color w:val="000000"/>
          <w:sz w:val="24"/>
          <w:szCs w:val="24"/>
        </w:rPr>
        <w:t xml:space="preserve"> </w:t>
      </w:r>
      <w:r>
        <w:rPr>
          <w:rFonts w:ascii="Arial" w:cs="Arial" w:hAnsi="Arial"/>
          <w:iCs/>
          <w:color w:val="000000"/>
          <w:sz w:val="24"/>
          <w:szCs w:val="24"/>
        </w:rPr>
        <w:t>v</w:t>
      </w:r>
      <w:r>
        <w:rPr>
          <w:rFonts w:ascii="Arial" w:cs="Arial" w:hAnsi="Arial"/>
          <w:i/>
          <w:color w:val="000000"/>
          <w:sz w:val="24"/>
          <w:szCs w:val="24"/>
        </w:rPr>
        <w:t xml:space="preserve"> membuat jadi lembaga; mengorganisasikan sebagai lembaga;</w:t>
      </w:r>
      <w:r>
        <w:rPr>
          <w:rFonts w:ascii="Arial" w:cs="Arial" w:hAnsi="Arial"/>
          <w:i/>
          <w:color w:val="000000"/>
          <w:sz w:val="24"/>
          <w:szCs w:val="24"/>
          <w:lang w:val="id-ID"/>
        </w:rPr>
        <w:t xml:space="preserve"> </w:t>
      </w:r>
      <w:r>
        <w:rPr>
          <w:rFonts w:ascii="Arial" w:cs="Arial" w:hAnsi="Arial"/>
          <w:b/>
          <w:bCs/>
          <w:i/>
          <w:color w:val="000000"/>
          <w:sz w:val="24"/>
          <w:szCs w:val="24"/>
        </w:rPr>
        <w:t>per·lem·ba·ga·an</w:t>
      </w:r>
      <w:r>
        <w:rPr>
          <w:rFonts w:ascii="Arial" w:cs="Arial" w:hAnsi="Arial"/>
          <w:i/>
          <w:color w:val="000000"/>
          <w:sz w:val="24"/>
          <w:szCs w:val="24"/>
        </w:rPr>
        <w:t xml:space="preserve"> </w:t>
      </w:r>
      <w:r>
        <w:rPr>
          <w:rFonts w:ascii="Arial" w:cs="Arial" w:hAnsi="Arial"/>
          <w:iCs/>
          <w:color w:val="000000"/>
          <w:sz w:val="24"/>
          <w:szCs w:val="24"/>
        </w:rPr>
        <w:t>n</w:t>
      </w:r>
      <w:r>
        <w:rPr>
          <w:rFonts w:ascii="Arial" w:cs="Arial" w:hAnsi="Arial"/>
          <w:i/>
          <w:color w:val="000000"/>
          <w:sz w:val="24"/>
          <w:szCs w:val="24"/>
        </w:rPr>
        <w:t xml:space="preserve"> </w:t>
      </w:r>
      <w:r>
        <w:rPr>
          <w:rFonts w:ascii="Arial" w:cs="Arial" w:hAnsi="Arial"/>
          <w:b/>
          <w:bCs/>
          <w:i/>
          <w:color w:val="000000"/>
          <w:sz w:val="24"/>
          <w:szCs w:val="24"/>
        </w:rPr>
        <w:t>1</w:t>
      </w:r>
      <w:r>
        <w:rPr>
          <w:rFonts w:ascii="Arial" w:cs="Arial" w:hAnsi="Arial"/>
          <w:i/>
          <w:color w:val="000000"/>
          <w:sz w:val="24"/>
          <w:szCs w:val="24"/>
        </w:rPr>
        <w:t xml:space="preserve"> hal berlembaga; </w:t>
      </w:r>
      <w:r>
        <w:rPr>
          <w:rFonts w:ascii="Arial" w:cs="Arial" w:hAnsi="Arial"/>
          <w:b/>
          <w:bCs/>
          <w:i/>
          <w:color w:val="000000"/>
          <w:sz w:val="24"/>
          <w:szCs w:val="24"/>
        </w:rPr>
        <w:t>2</w:t>
      </w:r>
      <w:r>
        <w:rPr>
          <w:rFonts w:ascii="Arial" w:cs="Arial" w:hAnsi="Arial"/>
          <w:i/>
          <w:color w:val="000000"/>
          <w:sz w:val="24"/>
          <w:szCs w:val="24"/>
        </w:rPr>
        <w:t xml:space="preserve"> </w:t>
      </w:r>
      <w:r>
        <w:rPr>
          <w:rFonts w:ascii="Arial" w:cs="Arial" w:hAnsi="Arial"/>
          <w:iCs/>
          <w:color w:val="000000"/>
          <w:sz w:val="24"/>
          <w:szCs w:val="24"/>
        </w:rPr>
        <w:t>ark</w:t>
      </w:r>
      <w:r>
        <w:rPr>
          <w:rFonts w:ascii="Arial" w:cs="Arial" w:hAnsi="Arial"/>
          <w:i/>
          <w:color w:val="000000"/>
          <w:sz w:val="24"/>
          <w:szCs w:val="24"/>
        </w:rPr>
        <w:t xml:space="preserve"> undang-undang dasar negara;</w:t>
      </w:r>
      <w:r>
        <w:rPr>
          <w:rFonts w:ascii="Arial" w:cs="Arial" w:hAnsi="Arial"/>
          <w:i/>
          <w:color w:val="000000"/>
          <w:sz w:val="24"/>
          <w:szCs w:val="24"/>
          <w:lang w:val="id-ID"/>
        </w:rPr>
        <w:t xml:space="preserve"> </w:t>
      </w:r>
      <w:r>
        <w:rPr>
          <w:rFonts w:ascii="Arial" w:cs="Arial" w:hAnsi="Arial"/>
          <w:b/>
          <w:bCs/>
          <w:i/>
          <w:color w:val="000000"/>
          <w:sz w:val="24"/>
          <w:szCs w:val="24"/>
        </w:rPr>
        <w:t>pe·lem·ba·ga·an</w:t>
      </w:r>
      <w:r>
        <w:rPr>
          <w:rFonts w:ascii="Arial" w:cs="Arial" w:hAnsi="Arial"/>
          <w:i/>
          <w:color w:val="000000"/>
          <w:sz w:val="24"/>
          <w:szCs w:val="24"/>
        </w:rPr>
        <w:t xml:space="preserve"> </w:t>
      </w:r>
      <w:r>
        <w:rPr>
          <w:rFonts w:ascii="Arial" w:cs="Arial" w:hAnsi="Arial"/>
          <w:iCs/>
          <w:color w:val="000000"/>
          <w:sz w:val="24"/>
          <w:szCs w:val="24"/>
        </w:rPr>
        <w:t>n</w:t>
      </w:r>
      <w:r>
        <w:rPr>
          <w:rFonts w:ascii="Arial" w:cs="Arial" w:hAnsi="Arial"/>
          <w:i/>
          <w:color w:val="000000"/>
          <w:sz w:val="24"/>
          <w:szCs w:val="24"/>
        </w:rPr>
        <w:t xml:space="preserve"> proses, cara, perbuatan melembagakan;</w:t>
      </w:r>
      <w:r>
        <w:rPr>
          <w:rFonts w:ascii="Arial" w:cs="Arial" w:hAnsi="Arial"/>
          <w:i/>
          <w:color w:val="000000"/>
          <w:sz w:val="24"/>
          <w:szCs w:val="24"/>
          <w:lang w:val="id-ID"/>
        </w:rPr>
        <w:t xml:space="preserve"> </w:t>
      </w:r>
      <w:r>
        <w:rPr>
          <w:rFonts w:ascii="Arial" w:cs="Arial" w:hAnsi="Arial"/>
          <w:b/>
          <w:bCs/>
          <w:i/>
          <w:color w:val="000000"/>
          <w:sz w:val="24"/>
          <w:szCs w:val="24"/>
        </w:rPr>
        <w:t>ke·lem·ba·ga·an</w:t>
      </w:r>
      <w:r>
        <w:rPr>
          <w:rFonts w:ascii="Arial" w:cs="Arial" w:hAnsi="Arial"/>
          <w:i/>
          <w:color w:val="000000"/>
          <w:sz w:val="24"/>
          <w:szCs w:val="24"/>
        </w:rPr>
        <w:t xml:space="preserve"> </w:t>
      </w:r>
      <w:r>
        <w:rPr>
          <w:rFonts w:ascii="Arial" w:cs="Arial" w:hAnsi="Arial"/>
          <w:iCs/>
          <w:color w:val="000000"/>
          <w:sz w:val="24"/>
          <w:szCs w:val="24"/>
        </w:rPr>
        <w:t>n</w:t>
      </w:r>
      <w:r>
        <w:rPr>
          <w:rFonts w:ascii="Arial" w:cs="Arial" w:hAnsi="Arial"/>
          <w:i/>
          <w:color w:val="000000"/>
          <w:sz w:val="24"/>
          <w:szCs w:val="24"/>
        </w:rPr>
        <w:t xml:space="preserve"> perihal (yang</w:t>
      </w:r>
      <w:r>
        <w:rPr>
          <w:rFonts w:ascii="Arial" w:cs="Arial" w:hAnsi="Arial"/>
          <w:color w:val="000000"/>
          <w:sz w:val="24"/>
          <w:szCs w:val="24"/>
        </w:rPr>
        <w:t xml:space="preserve"> bersifat</w:t>
      </w:r>
      <w:r>
        <w:rPr>
          <w:rFonts w:ascii="Arial" w:cs="Arial" w:hAnsi="Arial"/>
          <w:color w:val="000000"/>
        </w:rPr>
        <w:t xml:space="preserve">) </w:t>
      </w:r>
      <w:r>
        <w:rPr>
          <w:rFonts w:ascii="Arial" w:cs="Arial" w:hAnsi="Arial"/>
          <w:color w:val="000000"/>
          <w:sz w:val="22"/>
          <w:szCs w:val="22"/>
        </w:rPr>
        <w:t>lembaga.</w:t>
      </w:r>
      <w:r>
        <w:rPr>
          <w:rFonts w:ascii="Arial" w:cs="Arial" w:hAnsi="Arial"/>
          <w:color w:val="000000"/>
          <w:sz w:val="22"/>
          <w:szCs w:val="22"/>
          <w:vertAlign w:val="superscript"/>
          <w:lang w:val="sv-SE"/>
        </w:rPr>
        <w:footnoteReference w:id="16"/>
      </w: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 xml:space="preserve"> Untuk melengkapi penjelasan istilah, maka dikutip juga istilah adil dan yang berkaitan, sehingga akan lebih mudah memahaminya.</w:t>
      </w:r>
    </w:p>
    <w:p>
      <w:pPr>
        <w:pStyle w:val="style0"/>
        <w:ind w:left="426"/>
        <w:jc w:val="both"/>
        <w:rPr>
          <w:rFonts w:ascii="Arial" w:cs="Arial" w:hAnsi="Arial"/>
          <w:sz w:val="24"/>
          <w:szCs w:val="24"/>
          <w:lang w:val="id-ID"/>
        </w:rPr>
      </w:pPr>
      <w:r>
        <w:rPr>
          <w:rFonts w:ascii="Arial" w:cs="Arial" w:hAnsi="Arial"/>
          <w:b/>
          <w:bCs/>
          <w:sz w:val="24"/>
          <w:szCs w:val="24"/>
          <w:lang w:val="id-ID"/>
        </w:rPr>
        <w:t>adil</w:t>
      </w:r>
      <w:r>
        <w:rPr>
          <w:rFonts w:ascii="Arial" w:cs="Arial" w:hAnsi="Arial"/>
          <w:sz w:val="24"/>
          <w:szCs w:val="24"/>
          <w:lang w:val="id-ID"/>
        </w:rPr>
        <w:t> </w:t>
      </w:r>
      <w:r>
        <w:rPr>
          <w:rFonts w:ascii="Arial" w:cs="Arial" w:hAnsi="Arial"/>
          <w:i/>
          <w:iCs/>
          <w:sz w:val="24"/>
          <w:szCs w:val="24"/>
          <w:lang w:val="id-ID"/>
        </w:rPr>
        <w:t>a</w:t>
      </w:r>
      <w:r>
        <w:rPr>
          <w:rFonts w:ascii="Arial" w:cs="Arial" w:hAnsi="Arial"/>
          <w:sz w:val="24"/>
          <w:szCs w:val="24"/>
          <w:lang w:val="id-ID"/>
        </w:rPr>
        <w:t> </w:t>
      </w:r>
      <w:r>
        <w:rPr>
          <w:rFonts w:ascii="Arial" w:cs="Arial" w:hAnsi="Arial"/>
          <w:b/>
          <w:bCs/>
          <w:sz w:val="24"/>
          <w:szCs w:val="24"/>
          <w:lang w:val="id-ID"/>
        </w:rPr>
        <w:t>1</w:t>
      </w:r>
      <w:r>
        <w:rPr>
          <w:rFonts w:ascii="Arial" w:cs="Arial" w:hAnsi="Arial"/>
          <w:sz w:val="24"/>
          <w:szCs w:val="24"/>
          <w:lang w:val="id-ID"/>
        </w:rPr>
        <w:t> sama berat; tidak berat sebelah; tidak memihak: </w:t>
      </w:r>
      <w:r>
        <w:rPr>
          <w:rFonts w:ascii="Arial" w:cs="Arial" w:hAnsi="Arial"/>
          <w:i/>
          <w:iCs/>
          <w:sz w:val="24"/>
          <w:szCs w:val="24"/>
          <w:lang w:val="id-ID"/>
        </w:rPr>
        <w:t>keputusan hakim itu --;</w:t>
      </w:r>
      <w:r>
        <w:rPr>
          <w:rFonts w:ascii="Arial" w:cs="Arial" w:hAnsi="Arial"/>
          <w:sz w:val="24"/>
          <w:szCs w:val="24"/>
          <w:lang w:val="id-ID"/>
        </w:rPr>
        <w:t> </w:t>
      </w:r>
      <w:r>
        <w:rPr>
          <w:rFonts w:ascii="Arial" w:cs="Arial" w:hAnsi="Arial"/>
          <w:b/>
          <w:bCs/>
          <w:sz w:val="24"/>
          <w:szCs w:val="24"/>
          <w:lang w:val="id-ID"/>
        </w:rPr>
        <w:t>2</w:t>
      </w:r>
      <w:r>
        <w:rPr>
          <w:rFonts w:ascii="Arial" w:cs="Arial" w:hAnsi="Arial"/>
          <w:sz w:val="24"/>
          <w:szCs w:val="24"/>
          <w:lang w:val="id-ID"/>
        </w:rPr>
        <w:t> berpihak kepada yang benar; berpegang pada kebenaran;  </w:t>
      </w:r>
      <w:r>
        <w:rPr>
          <w:rFonts w:ascii="Arial" w:cs="Arial" w:hAnsi="Arial"/>
          <w:b/>
          <w:bCs/>
          <w:sz w:val="24"/>
          <w:szCs w:val="24"/>
          <w:lang w:val="id-ID"/>
        </w:rPr>
        <w:t>3</w:t>
      </w:r>
      <w:r>
        <w:rPr>
          <w:rFonts w:ascii="Arial" w:cs="Arial" w:hAnsi="Arial"/>
          <w:sz w:val="24"/>
          <w:szCs w:val="24"/>
          <w:lang w:val="id-ID"/>
        </w:rPr>
        <w:t> sepatutnya;  tidak sewenang-wenang: </w:t>
      </w:r>
      <w:r>
        <w:rPr>
          <w:rFonts w:ascii="Arial" w:cs="Arial" w:hAnsi="Arial"/>
          <w:i/>
          <w:iCs/>
          <w:sz w:val="24"/>
          <w:szCs w:val="24"/>
          <w:lang w:val="id-ID"/>
        </w:rPr>
        <w:t>para buruh mengemukakan tuntutan yang --;</w:t>
      </w:r>
      <w:r>
        <w:rPr>
          <w:rFonts w:ascii="Arial" w:cs="Arial" w:hAnsi="Arial"/>
          <w:sz w:val="24"/>
          <w:szCs w:val="24"/>
          <w:lang w:val="id-ID"/>
        </w:rPr>
        <w:t xml:space="preserve"> </w:t>
      </w:r>
      <w:r>
        <w:rPr>
          <w:rFonts w:ascii="Arial" w:cs="Arial" w:hAnsi="Arial"/>
          <w:b/>
          <w:bCs/>
          <w:sz w:val="24"/>
          <w:szCs w:val="24"/>
          <w:lang w:val="id-ID"/>
        </w:rPr>
        <w:t>mengadili </w:t>
      </w:r>
      <w:r>
        <w:rPr>
          <w:rFonts w:ascii="Arial" w:cs="Arial" w:hAnsi="Arial"/>
          <w:i/>
          <w:iCs/>
          <w:sz w:val="24"/>
          <w:szCs w:val="24"/>
          <w:lang w:val="id-ID"/>
        </w:rPr>
        <w:t>/meng·a·dili /v</w:t>
      </w:r>
      <w:r>
        <w:rPr>
          <w:rFonts w:ascii="Arial" w:cs="Arial" w:hAnsi="Arial"/>
          <w:sz w:val="24"/>
          <w:szCs w:val="24"/>
          <w:lang w:val="id-ID"/>
        </w:rPr>
        <w:t xml:space="preserve"> memeriksa, </w:t>
      </w:r>
      <w:r>
        <w:rPr>
          <w:rFonts w:ascii="Arial" w:cs="Arial" w:hAnsi="Arial"/>
          <w:sz w:val="24"/>
          <w:szCs w:val="24"/>
          <w:lang w:val="id-ID"/>
        </w:rPr>
        <w:t>menimbang, dan memutuskan (perkara, sengketa); menentukan mana yang benar (baik) dan mana yang salah (jahat): </w:t>
      </w:r>
      <w:r>
        <w:rPr>
          <w:rFonts w:ascii="Arial" w:cs="Arial" w:hAnsi="Arial"/>
          <w:i/>
          <w:iCs/>
          <w:sz w:val="24"/>
          <w:szCs w:val="24"/>
          <w:lang w:val="id-ID"/>
        </w:rPr>
        <w:t>hakim ~ perkara pembunuhan;</w:t>
      </w:r>
      <w:r>
        <w:rPr>
          <w:rFonts w:ascii="Arial" w:cs="Arial" w:hAnsi="Arial"/>
          <w:sz w:val="24"/>
          <w:szCs w:val="24"/>
          <w:lang w:val="id-ID"/>
        </w:rPr>
        <w:t xml:space="preserve"> </w:t>
      </w:r>
      <w:r>
        <w:rPr>
          <w:rFonts w:ascii="Arial" w:cs="Arial" w:hAnsi="Arial"/>
          <w:b/>
          <w:bCs/>
          <w:sz w:val="24"/>
          <w:szCs w:val="24"/>
          <w:lang w:val="id-ID"/>
        </w:rPr>
        <w:t>teradil</w:t>
      </w:r>
      <w:r>
        <w:rPr>
          <w:rFonts w:ascii="Arial" w:cs="Arial" w:hAnsi="Arial"/>
          <w:i/>
          <w:iCs/>
          <w:sz w:val="24"/>
          <w:szCs w:val="24"/>
          <w:lang w:val="id-ID"/>
        </w:rPr>
        <w:t>/ter·a·dil/</w:t>
      </w:r>
      <w:r>
        <w:rPr>
          <w:rFonts w:ascii="Arial" w:cs="Arial" w:hAnsi="Arial"/>
          <w:sz w:val="24"/>
          <w:szCs w:val="24"/>
          <w:lang w:val="id-ID"/>
        </w:rPr>
        <w:t> </w:t>
      </w:r>
      <w:r>
        <w:rPr>
          <w:rFonts w:ascii="Arial" w:cs="Arial" w:hAnsi="Arial"/>
          <w:i/>
          <w:iCs/>
          <w:sz w:val="24"/>
          <w:szCs w:val="24"/>
          <w:lang w:val="id-ID"/>
        </w:rPr>
        <w:t>a</w:t>
      </w:r>
      <w:r>
        <w:rPr>
          <w:rFonts w:ascii="Arial" w:cs="Arial" w:hAnsi="Arial"/>
          <w:sz w:val="24"/>
          <w:szCs w:val="24"/>
          <w:lang w:val="id-ID"/>
        </w:rPr>
        <w:t xml:space="preserve">  paling (sangat) adil; </w:t>
      </w:r>
      <w:r>
        <w:rPr>
          <w:rFonts w:ascii="Arial" w:cs="Arial" w:hAnsi="Arial"/>
          <w:b/>
          <w:bCs/>
          <w:sz w:val="24"/>
          <w:szCs w:val="24"/>
          <w:lang w:val="id-ID"/>
        </w:rPr>
        <w:t>teradili</w:t>
      </w:r>
      <w:r>
        <w:rPr>
          <w:rFonts w:ascii="Arial" w:cs="Arial" w:hAnsi="Arial"/>
          <w:i/>
          <w:iCs/>
          <w:sz w:val="24"/>
          <w:szCs w:val="24"/>
          <w:lang w:val="id-ID"/>
        </w:rPr>
        <w:t>/ter·a·dili/</w:t>
      </w:r>
      <w:r>
        <w:rPr>
          <w:rFonts w:ascii="Arial" w:cs="Arial" w:hAnsi="Arial"/>
          <w:sz w:val="24"/>
          <w:szCs w:val="24"/>
          <w:lang w:val="id-ID"/>
        </w:rPr>
        <w:t> </w:t>
      </w:r>
      <w:r>
        <w:rPr>
          <w:rFonts w:ascii="Arial" w:cs="Arial" w:hAnsi="Arial"/>
          <w:i/>
          <w:iCs/>
          <w:sz w:val="24"/>
          <w:szCs w:val="24"/>
          <w:lang w:val="id-ID"/>
        </w:rPr>
        <w:t>v</w:t>
      </w:r>
      <w:r>
        <w:rPr>
          <w:rFonts w:ascii="Arial" w:cs="Arial" w:hAnsi="Arial"/>
          <w:sz w:val="24"/>
          <w:szCs w:val="24"/>
          <w:lang w:val="id-ID"/>
        </w:rPr>
        <w:t> dapat diadili;</w:t>
      </w:r>
      <w:r>
        <w:rPr>
          <w:rFonts w:ascii="Arial" w:cs="Arial" w:hAnsi="Arial"/>
          <w:sz w:val="24"/>
          <w:szCs w:val="24"/>
          <w:lang w:val="id-ID"/>
        </w:rPr>
        <w:br/>
      </w:r>
      <w:r>
        <w:rPr>
          <w:rFonts w:ascii="Arial" w:cs="Arial" w:hAnsi="Arial"/>
          <w:b/>
          <w:bCs/>
          <w:sz w:val="24"/>
          <w:szCs w:val="24"/>
          <w:lang w:val="id-ID"/>
        </w:rPr>
        <w:t>peradilan</w:t>
      </w:r>
      <w:r>
        <w:rPr>
          <w:rFonts w:ascii="Arial" w:cs="Arial" w:hAnsi="Arial"/>
          <w:i/>
          <w:iCs/>
          <w:sz w:val="24"/>
          <w:szCs w:val="24"/>
          <w:lang w:val="id-ID"/>
        </w:rPr>
        <w:t>/per·a·dil·an/</w:t>
      </w:r>
      <w:r>
        <w:rPr>
          <w:rFonts w:ascii="Arial" w:cs="Arial" w:hAnsi="Arial"/>
          <w:sz w:val="24"/>
          <w:szCs w:val="24"/>
          <w:lang w:val="id-ID"/>
        </w:rPr>
        <w:t> </w:t>
      </w:r>
      <w:r>
        <w:rPr>
          <w:rFonts w:ascii="Arial" w:cs="Arial" w:hAnsi="Arial"/>
          <w:i/>
          <w:iCs/>
          <w:sz w:val="24"/>
          <w:szCs w:val="24"/>
          <w:lang w:val="id-ID"/>
        </w:rPr>
        <w:t>n</w:t>
      </w:r>
      <w:r>
        <w:rPr>
          <w:rFonts w:ascii="Arial" w:cs="Arial" w:hAnsi="Arial"/>
          <w:sz w:val="24"/>
          <w:szCs w:val="24"/>
          <w:lang w:val="id-ID"/>
        </w:rPr>
        <w:t xml:space="preserve"> segala sesuatu mengenai perkara pengadilan:  </w:t>
      </w:r>
      <w:r>
        <w:rPr>
          <w:rFonts w:ascii="Arial" w:cs="Arial" w:hAnsi="Arial"/>
          <w:i/>
          <w:iCs/>
          <w:sz w:val="24"/>
          <w:szCs w:val="24"/>
          <w:lang w:val="id-ID"/>
        </w:rPr>
        <w:t>lembaga hukum bertugas memperbaiki ~;</w:t>
      </w:r>
      <w:r>
        <w:rPr>
          <w:rFonts w:ascii="Arial" w:cs="Arial" w:hAnsi="Arial"/>
          <w:sz w:val="24"/>
          <w:szCs w:val="24"/>
          <w:lang w:val="id-ID"/>
        </w:rPr>
        <w:t xml:space="preserve"> </w:t>
      </w:r>
      <w:r>
        <w:rPr>
          <w:rFonts w:ascii="Arial" w:cs="Arial" w:hAnsi="Arial"/>
          <w:b/>
          <w:bCs/>
          <w:sz w:val="24"/>
          <w:szCs w:val="24"/>
          <w:lang w:val="id-ID"/>
        </w:rPr>
        <w:t>pengadil</w:t>
      </w:r>
      <w:r>
        <w:rPr>
          <w:rFonts w:ascii="Arial" w:cs="Arial" w:hAnsi="Arial"/>
          <w:i/>
          <w:iCs/>
          <w:sz w:val="24"/>
          <w:szCs w:val="24"/>
          <w:lang w:val="id-ID"/>
        </w:rPr>
        <w:t>/peng·a·dil/</w:t>
      </w:r>
      <w:r>
        <w:rPr>
          <w:rFonts w:ascii="Arial" w:cs="Arial" w:hAnsi="Arial"/>
          <w:sz w:val="24"/>
          <w:szCs w:val="24"/>
          <w:lang w:val="id-ID"/>
        </w:rPr>
        <w:t> </w:t>
      </w:r>
      <w:r>
        <w:rPr>
          <w:rFonts w:ascii="Arial" w:cs="Arial" w:hAnsi="Arial"/>
          <w:i/>
          <w:iCs/>
          <w:sz w:val="24"/>
          <w:szCs w:val="24"/>
          <w:lang w:val="id-ID"/>
        </w:rPr>
        <w:t>n</w:t>
      </w:r>
      <w:r>
        <w:rPr>
          <w:rFonts w:ascii="Arial" w:cs="Arial" w:hAnsi="Arial"/>
          <w:sz w:val="24"/>
          <w:szCs w:val="24"/>
          <w:lang w:val="id-ID"/>
        </w:rPr>
        <w:t> orang yang mengadili; hakim: </w:t>
      </w:r>
      <w:r>
        <w:rPr>
          <w:rFonts w:ascii="Arial" w:cs="Arial" w:hAnsi="Arial"/>
          <w:i/>
          <w:iCs/>
          <w:sz w:val="24"/>
          <w:szCs w:val="24"/>
          <w:lang w:val="id-ID"/>
        </w:rPr>
        <w:t>pemain terkenal itu pernah dikartumerahkan sang ~;</w:t>
      </w:r>
      <w:r>
        <w:rPr>
          <w:rFonts w:ascii="Arial" w:cs="Arial" w:hAnsi="Arial"/>
          <w:sz w:val="24"/>
          <w:szCs w:val="24"/>
          <w:lang w:val="id-ID"/>
        </w:rPr>
        <w:t xml:space="preserve"> </w:t>
      </w:r>
      <w:r>
        <w:rPr>
          <w:rFonts w:ascii="Arial" w:cs="Arial" w:hAnsi="Arial"/>
          <w:b/>
          <w:bCs/>
          <w:sz w:val="24"/>
          <w:szCs w:val="24"/>
          <w:lang w:val="id-ID"/>
        </w:rPr>
        <w:t>pengadilan</w:t>
      </w:r>
      <w:r>
        <w:rPr>
          <w:rFonts w:ascii="Arial" w:cs="Arial" w:hAnsi="Arial"/>
          <w:i/>
          <w:iCs/>
          <w:sz w:val="24"/>
          <w:szCs w:val="24"/>
          <w:lang w:val="id-ID"/>
        </w:rPr>
        <w:t>/peng·a·dil·an/</w:t>
      </w:r>
      <w:r>
        <w:rPr>
          <w:rFonts w:ascii="Arial" w:cs="Arial" w:hAnsi="Arial"/>
          <w:sz w:val="24"/>
          <w:szCs w:val="24"/>
          <w:lang w:val="id-ID"/>
        </w:rPr>
        <w:t> </w:t>
      </w:r>
      <w:r>
        <w:rPr>
          <w:rFonts w:ascii="Arial" w:cs="Arial" w:hAnsi="Arial"/>
          <w:i/>
          <w:iCs/>
          <w:sz w:val="24"/>
          <w:szCs w:val="24"/>
          <w:lang w:val="id-ID"/>
        </w:rPr>
        <w:t>n</w:t>
      </w:r>
      <w:r>
        <w:rPr>
          <w:rFonts w:ascii="Arial" w:cs="Arial" w:hAnsi="Arial"/>
          <w:sz w:val="24"/>
          <w:szCs w:val="24"/>
          <w:lang w:val="id-ID"/>
        </w:rPr>
        <w:t> </w:t>
      </w:r>
      <w:r>
        <w:rPr>
          <w:rFonts w:ascii="Arial" w:cs="Arial" w:hAnsi="Arial"/>
          <w:b/>
          <w:bCs/>
          <w:sz w:val="24"/>
          <w:szCs w:val="24"/>
          <w:lang w:val="id-ID"/>
        </w:rPr>
        <w:t>1</w:t>
      </w:r>
      <w:r>
        <w:rPr>
          <w:rFonts w:ascii="Arial" w:cs="Arial" w:hAnsi="Arial"/>
          <w:sz w:val="24"/>
          <w:szCs w:val="24"/>
          <w:lang w:val="id-ID"/>
        </w:rPr>
        <w:t> dewan atau majelis yang mengadili perkara; mahkamah; </w:t>
      </w:r>
      <w:r>
        <w:rPr>
          <w:rFonts w:ascii="Arial" w:cs="Arial" w:hAnsi="Arial"/>
          <w:b/>
          <w:bCs/>
          <w:sz w:val="24"/>
          <w:szCs w:val="24"/>
          <w:lang w:val="id-ID"/>
        </w:rPr>
        <w:t>2</w:t>
      </w:r>
      <w:r>
        <w:rPr>
          <w:rFonts w:ascii="Arial" w:cs="Arial" w:hAnsi="Arial"/>
          <w:sz w:val="24"/>
          <w:szCs w:val="24"/>
          <w:lang w:val="id-ID"/>
        </w:rPr>
        <w:t> proses mengadili;  </w:t>
      </w:r>
      <w:r>
        <w:rPr>
          <w:rFonts w:ascii="Arial" w:cs="Arial" w:hAnsi="Arial"/>
          <w:b/>
          <w:bCs/>
          <w:sz w:val="24"/>
          <w:szCs w:val="24"/>
          <w:lang w:val="id-ID"/>
        </w:rPr>
        <w:t>3</w:t>
      </w:r>
      <w:r>
        <w:rPr>
          <w:rFonts w:ascii="Arial" w:cs="Arial" w:hAnsi="Arial"/>
          <w:sz w:val="24"/>
          <w:szCs w:val="24"/>
          <w:lang w:val="id-ID"/>
        </w:rPr>
        <w:t> keputusan hakim: </w:t>
      </w:r>
      <w:r>
        <w:rPr>
          <w:rFonts w:ascii="Arial" w:cs="Arial" w:hAnsi="Arial"/>
          <w:i/>
          <w:iCs/>
          <w:sz w:val="24"/>
          <w:szCs w:val="24"/>
          <w:lang w:val="id-ID"/>
        </w:rPr>
        <w:t>banyak yang tidak puas akan ~ hakim itu;</w:t>
      </w:r>
      <w:r>
        <w:rPr>
          <w:rFonts w:ascii="Arial" w:cs="Arial" w:hAnsi="Arial"/>
          <w:sz w:val="24"/>
          <w:szCs w:val="24"/>
          <w:lang w:val="id-ID"/>
        </w:rPr>
        <w:t xml:space="preserve">  </w:t>
      </w:r>
      <w:r>
        <w:rPr>
          <w:rFonts w:ascii="Arial" w:cs="Arial" w:hAnsi="Arial"/>
          <w:b/>
          <w:bCs/>
          <w:sz w:val="24"/>
          <w:szCs w:val="24"/>
          <w:lang w:val="id-ID"/>
        </w:rPr>
        <w:t>4</w:t>
      </w:r>
      <w:r>
        <w:rPr>
          <w:rFonts w:ascii="Arial" w:cs="Arial" w:hAnsi="Arial"/>
          <w:sz w:val="24"/>
          <w:szCs w:val="24"/>
          <w:lang w:val="id-ID"/>
        </w:rPr>
        <w:t> sidang hakim ketika mengadili perkara: </w:t>
      </w:r>
      <w:r>
        <w:rPr>
          <w:rFonts w:ascii="Arial" w:cs="Arial" w:hAnsi="Arial"/>
          <w:i/>
          <w:iCs/>
          <w:sz w:val="24"/>
          <w:szCs w:val="24"/>
          <w:lang w:val="id-ID"/>
        </w:rPr>
        <w:t>di depan ~ terdakwa memungkiri perbuatannya;</w:t>
      </w:r>
      <w:r>
        <w:rPr>
          <w:rFonts w:ascii="Arial" w:cs="Arial" w:hAnsi="Arial"/>
          <w:sz w:val="24"/>
          <w:szCs w:val="24"/>
          <w:lang w:val="id-ID"/>
        </w:rPr>
        <w:t> </w:t>
      </w:r>
      <w:r>
        <w:rPr>
          <w:rFonts w:ascii="Arial" w:cs="Arial" w:hAnsi="Arial"/>
          <w:b/>
          <w:bCs/>
          <w:sz w:val="24"/>
          <w:szCs w:val="24"/>
          <w:lang w:val="id-ID"/>
        </w:rPr>
        <w:t>5</w:t>
      </w:r>
      <w:r>
        <w:rPr>
          <w:rFonts w:ascii="Arial" w:cs="Arial" w:hAnsi="Arial"/>
          <w:sz w:val="24"/>
          <w:szCs w:val="24"/>
          <w:lang w:val="id-ID"/>
        </w:rPr>
        <w:t> rumah (bangunan) tempat mengadili perkara: </w:t>
      </w:r>
      <w:r>
        <w:rPr>
          <w:rFonts w:ascii="Arial" w:cs="Arial" w:hAnsi="Arial"/>
          <w:i/>
          <w:iCs/>
          <w:sz w:val="24"/>
          <w:szCs w:val="24"/>
          <w:lang w:val="id-ID"/>
        </w:rPr>
        <w:t>rumahnya terletak di depan kantor ~ negeri;</w:t>
      </w:r>
      <w:r>
        <w:rPr>
          <w:rFonts w:ascii="Arial" w:cs="Arial" w:hAnsi="Arial"/>
          <w:b/>
          <w:bCs/>
          <w:sz w:val="24"/>
          <w:szCs w:val="24"/>
          <w:lang w:val="id-ID"/>
        </w:rPr>
        <w:t>~ agama</w:t>
      </w:r>
      <w:r>
        <w:rPr>
          <w:rFonts w:ascii="Arial" w:cs="Arial" w:hAnsi="Arial"/>
          <w:sz w:val="24"/>
          <w:szCs w:val="24"/>
          <w:lang w:val="id-ID"/>
        </w:rPr>
        <w:t xml:space="preserve"> badan </w:t>
      </w:r>
      <w:r>
        <w:rPr>
          <w:rFonts w:ascii="Arial" w:cs="Arial" w:hAnsi="Arial"/>
          <w:sz w:val="24"/>
          <w:szCs w:val="24"/>
          <w:lang w:val="id-ID"/>
        </w:rPr>
        <w:t>Pe®ngadilan</w:t>
      </w:r>
      <w:r>
        <w:rPr>
          <w:rFonts w:ascii="Arial" w:cs="Arial" w:hAnsi="Arial"/>
          <w:sz w:val="24"/>
          <w:szCs w:val="24"/>
          <w:lang w:val="id-ID"/>
        </w:rPr>
        <w:t xml:space="preserve"> khusus untuk orang yang beragama Islam yang memeriksa dan memutus perkara perdata tertentu sesuai dengan peraturan perundang-undangan yang berlaku; </w:t>
      </w:r>
      <w:r>
        <w:rPr>
          <w:rFonts w:ascii="Arial" w:cs="Arial" w:hAnsi="Arial"/>
          <w:b/>
          <w:bCs/>
          <w:sz w:val="24"/>
          <w:szCs w:val="24"/>
          <w:lang w:val="id-ID"/>
        </w:rPr>
        <w:t>~ militer</w:t>
      </w:r>
      <w:r>
        <w:rPr>
          <w:rFonts w:ascii="Arial" w:cs="Arial" w:hAnsi="Arial"/>
          <w:sz w:val="24"/>
          <w:szCs w:val="24"/>
          <w:lang w:val="id-ID"/>
        </w:rPr>
        <w:t xml:space="preserve"> badan </w:t>
      </w:r>
      <w:r>
        <w:rPr>
          <w:rFonts w:ascii="Arial" w:cs="Arial" w:hAnsi="Arial"/>
          <w:sz w:val="24"/>
          <w:szCs w:val="24"/>
          <w:lang w:val="id-ID"/>
        </w:rPr>
        <w:t>Pe</w:t>
      </w:r>
      <w:r>
        <w:rPr>
          <w:rFonts w:ascii="Arial" w:cs="Arial" w:hAnsi="Arial"/>
          <w:sz w:val="24"/>
          <w:szCs w:val="24"/>
        </w:rPr>
        <w:t>r</w:t>
      </w:r>
      <w:r>
        <w:rPr>
          <w:rFonts w:ascii="Arial" w:cs="Arial" w:hAnsi="Arial"/>
          <w:sz w:val="24"/>
          <w:szCs w:val="24"/>
          <w:lang w:val="id-ID"/>
        </w:rPr>
        <w:t>adilan</w:t>
      </w:r>
      <w:r>
        <w:rPr>
          <w:rFonts w:ascii="Arial" w:cs="Arial" w:hAnsi="Arial"/>
          <w:sz w:val="24"/>
          <w:szCs w:val="24"/>
          <w:lang w:val="id-ID"/>
        </w:rPr>
        <w:t xml:space="preserve"> khusus yang berkuasa memeriksa dan memutus perkara tindak pidana yang dilakukan oleh anggotaTNI; </w:t>
      </w:r>
      <w:r>
        <w:rPr>
          <w:rFonts w:ascii="Arial" w:cs="Arial" w:hAnsi="Arial"/>
          <w:b/>
          <w:bCs/>
          <w:sz w:val="24"/>
          <w:szCs w:val="24"/>
          <w:lang w:val="id-ID"/>
        </w:rPr>
        <w:t>~ negeri</w:t>
      </w:r>
      <w:r>
        <w:rPr>
          <w:rFonts w:ascii="Arial" w:cs="Arial" w:hAnsi="Arial"/>
          <w:sz w:val="24"/>
          <w:szCs w:val="24"/>
          <w:lang w:val="id-ID"/>
        </w:rPr>
        <w:t xml:space="preserve"> badan </w:t>
      </w:r>
      <w:r>
        <w:rPr>
          <w:rFonts w:ascii="Arial" w:cs="Arial" w:hAnsi="Arial"/>
          <w:sz w:val="24"/>
          <w:szCs w:val="24"/>
          <w:lang w:val="id-ID"/>
        </w:rPr>
        <w:t>Pe</w:t>
      </w:r>
      <w:r>
        <w:rPr>
          <w:rFonts w:ascii="Arial" w:cs="Arial" w:hAnsi="Arial"/>
          <w:sz w:val="24"/>
          <w:szCs w:val="24"/>
        </w:rPr>
        <w:t>r</w:t>
      </w:r>
      <w:r>
        <w:rPr>
          <w:rFonts w:ascii="Arial" w:cs="Arial" w:hAnsi="Arial"/>
          <w:sz w:val="24"/>
          <w:szCs w:val="24"/>
          <w:lang w:val="id-ID"/>
        </w:rPr>
        <w:t>adilan</w:t>
      </w:r>
      <w:r>
        <w:rPr>
          <w:rFonts w:ascii="Arial" w:cs="Arial" w:hAnsi="Arial"/>
          <w:sz w:val="24"/>
          <w:szCs w:val="24"/>
          <w:lang w:val="id-ID"/>
        </w:rPr>
        <w:t xml:space="preserve"> pada tingkat pertama yang berkuasa mengadili semua perkara penyelewengan hukum dalam daerah hukumnya; </w:t>
      </w:r>
      <w:r>
        <w:rPr>
          <w:rFonts w:ascii="Arial" w:cs="Arial" w:hAnsi="Arial"/>
          <w:b/>
          <w:bCs/>
          <w:sz w:val="24"/>
          <w:szCs w:val="24"/>
          <w:lang w:val="id-ID"/>
        </w:rPr>
        <w:t>~ tinggi</w:t>
      </w:r>
      <w:r>
        <w:rPr>
          <w:rFonts w:ascii="Arial" w:cs="Arial" w:hAnsi="Arial"/>
          <w:sz w:val="24"/>
          <w:szCs w:val="24"/>
          <w:lang w:val="id-ID"/>
        </w:rPr>
        <w:t xml:space="preserve"> badan yang berkuasa mengadili perkara banding yang berasal dari pengadilan negeri dalam daerah hukumnya; </w:t>
      </w:r>
      <w:r>
        <w:rPr>
          <w:rFonts w:ascii="Arial" w:cs="Arial" w:hAnsi="Arial"/>
          <w:b/>
          <w:bCs/>
          <w:sz w:val="24"/>
          <w:szCs w:val="24"/>
          <w:lang w:val="id-ID"/>
        </w:rPr>
        <w:t>keadilan</w:t>
      </w:r>
      <w:r>
        <w:rPr>
          <w:rFonts w:ascii="Arial" w:cs="Arial" w:hAnsi="Arial"/>
          <w:i/>
          <w:iCs/>
          <w:sz w:val="24"/>
          <w:szCs w:val="24"/>
          <w:lang w:val="id-ID"/>
        </w:rPr>
        <w:t>/ke·a·dil·an/</w:t>
      </w:r>
      <w:r>
        <w:rPr>
          <w:rFonts w:ascii="Arial" w:cs="Arial" w:hAnsi="Arial"/>
          <w:sz w:val="24"/>
          <w:szCs w:val="24"/>
          <w:lang w:val="id-ID"/>
        </w:rPr>
        <w:t> </w:t>
      </w:r>
      <w:r>
        <w:rPr>
          <w:rFonts w:ascii="Arial" w:cs="Arial" w:hAnsi="Arial"/>
          <w:i/>
          <w:iCs/>
          <w:sz w:val="24"/>
          <w:szCs w:val="24"/>
          <w:lang w:val="id-ID"/>
        </w:rPr>
        <w:t>n</w:t>
      </w:r>
      <w:r>
        <w:rPr>
          <w:rFonts w:ascii="Arial" w:cs="Arial" w:hAnsi="Arial"/>
          <w:sz w:val="24"/>
          <w:szCs w:val="24"/>
          <w:lang w:val="id-ID"/>
        </w:rPr>
        <w:t>  sifat (perbuatan, perlakuan, dan sebagainya) yang adil: </w:t>
      </w:r>
      <w:r>
        <w:rPr>
          <w:rFonts w:ascii="Arial" w:cs="Arial" w:hAnsi="Arial"/>
          <w:i/>
          <w:iCs/>
          <w:sz w:val="24"/>
          <w:szCs w:val="24"/>
          <w:lang w:val="id-ID"/>
        </w:rPr>
        <w:t>dia hanya mempertahankan hak dan ~ nya; Pemerintah menciptakan ~ bagi masyarakat;</w:t>
      </w:r>
      <w:r>
        <w:rPr>
          <w:rFonts w:ascii="Arial" w:cs="Arial" w:hAnsi="Arial"/>
          <w:b/>
          <w:bCs/>
          <w:sz w:val="24"/>
          <w:szCs w:val="24"/>
          <w:lang w:val="id-ID"/>
        </w:rPr>
        <w:t>~ sosial</w:t>
      </w:r>
      <w:r>
        <w:rPr>
          <w:rFonts w:ascii="Arial" w:cs="Arial" w:hAnsi="Arial"/>
          <w:sz w:val="24"/>
          <w:szCs w:val="24"/>
          <w:lang w:val="id-ID"/>
        </w:rPr>
        <w:t xml:space="preserve"> kerja sama untuk menghasilkan masyarakat yang bersatu secara organis sehingga setiap anggota masyarakat memiliki kesempatan yang sama dan nyata untuk tumbuh dan belajar hidup pada kemampuan aslinya; </w:t>
      </w:r>
      <w:r>
        <w:rPr>
          <w:rFonts w:ascii="Arial" w:cs="Arial" w:hAnsi="Arial"/>
          <w:b/>
          <w:bCs/>
          <w:sz w:val="24"/>
          <w:szCs w:val="24"/>
          <w:lang w:val="id-ID"/>
        </w:rPr>
        <w:t>berkeadilan</w:t>
      </w:r>
      <w:r>
        <w:rPr>
          <w:rFonts w:ascii="Arial" w:cs="Arial" w:hAnsi="Arial"/>
          <w:i/>
          <w:iCs/>
          <w:sz w:val="24"/>
          <w:szCs w:val="24"/>
          <w:lang w:val="id-ID"/>
        </w:rPr>
        <w:t>/ber·ke·a·dil·an/</w:t>
      </w:r>
      <w:r>
        <w:rPr>
          <w:rFonts w:ascii="Arial" w:cs="Arial" w:hAnsi="Arial"/>
          <w:sz w:val="24"/>
          <w:szCs w:val="24"/>
          <w:lang w:val="id-ID"/>
        </w:rPr>
        <w:t> </w:t>
      </w:r>
      <w:r>
        <w:rPr>
          <w:rFonts w:ascii="Arial" w:cs="Arial" w:hAnsi="Arial"/>
          <w:i/>
          <w:iCs/>
          <w:sz w:val="24"/>
          <w:szCs w:val="24"/>
          <w:lang w:val="id-ID"/>
        </w:rPr>
        <w:t>v</w:t>
      </w:r>
      <w:r>
        <w:rPr>
          <w:rFonts w:ascii="Arial" w:cs="Arial" w:hAnsi="Arial"/>
          <w:sz w:val="24"/>
          <w:szCs w:val="24"/>
          <w:lang w:val="id-ID"/>
        </w:rPr>
        <w:t> mempunyai keadilan</w:t>
      </w:r>
      <w:r>
        <w:rPr>
          <w:rFonts w:ascii="Arial" w:cs="Arial" w:hAnsi="Arial"/>
          <w:sz w:val="24"/>
          <w:szCs w:val="24"/>
        </w:rPr>
        <w:t>.</w:t>
      </w:r>
      <w:r>
        <w:rPr>
          <w:rFonts w:ascii="Arial" w:cs="Arial" w:hAnsi="Arial"/>
          <w:color w:val="000000"/>
          <w:sz w:val="24"/>
          <w:szCs w:val="24"/>
          <w:vertAlign w:val="superscript"/>
          <w:lang w:val="sv-SE"/>
        </w:rPr>
        <w:footnoteReference w:id="17"/>
      </w: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 xml:space="preserve">Dengan demikian lembaga </w:t>
      </w:r>
      <w:r>
        <w:rPr>
          <w:rFonts w:ascii="Arial" w:cs="Arial" w:hAnsi="Arial"/>
          <w:color w:val="000000"/>
          <w:sz w:val="24"/>
          <w:szCs w:val="24"/>
        </w:rPr>
        <w:t>P</w:t>
      </w:r>
      <w:r>
        <w:rPr>
          <w:rFonts w:ascii="Arial" w:cs="Arial" w:hAnsi="Arial"/>
          <w:color w:val="000000"/>
          <w:sz w:val="24"/>
          <w:szCs w:val="24"/>
          <w:lang w:val="id-ID"/>
        </w:rPr>
        <w:t xml:space="preserve">engadilan dan lembaga </w:t>
      </w:r>
      <w:r>
        <w:rPr>
          <w:rFonts w:ascii="Arial" w:cs="Arial" w:hAnsi="Arial"/>
          <w:color w:val="000000"/>
          <w:sz w:val="24"/>
          <w:szCs w:val="24"/>
          <w:lang w:val="id-ID"/>
        </w:rPr>
        <w:t>Pe</w:t>
      </w:r>
      <w:r>
        <w:rPr>
          <w:rFonts w:ascii="Arial" w:cs="Arial" w:hAnsi="Arial"/>
          <w:color w:val="000000"/>
          <w:sz w:val="24"/>
          <w:szCs w:val="24"/>
        </w:rPr>
        <w:t>r</w:t>
      </w:r>
      <w:r>
        <w:rPr>
          <w:rFonts w:ascii="Arial" w:cs="Arial" w:hAnsi="Arial"/>
          <w:color w:val="000000"/>
          <w:sz w:val="24"/>
          <w:szCs w:val="24"/>
          <w:lang w:val="id-ID"/>
        </w:rPr>
        <w:t>adilan</w:t>
      </w:r>
      <w:r>
        <w:rPr>
          <w:rFonts w:ascii="Arial" w:cs="Arial" w:hAnsi="Arial"/>
          <w:color w:val="000000"/>
          <w:sz w:val="24"/>
          <w:szCs w:val="24"/>
          <w:lang w:val="id-ID"/>
        </w:rPr>
        <w:t xml:space="preserve"> sama dalam tujuannya sebagai upaya penegakkan hukum dan berbeda dalam sasarannya dalam upaya memproses hukumnya.   ‘Pengadilan’ dipahami sebagai suatu institusi, gedung, sarana dan prasarana, yang terdapat proses memeriksa, mengadili, memutus,  sedangkan ‘Peradilan’ dipahami sebagai suatu sistem yang terdapat proses untuk memperoleh keadilan yang dimulai dari penyelidikan,  penyidikan, penuntutan, penjatuhan putusan hakim (vonis), upaya hukum dan menjalani pidana di Lembaga Pemasyarakatan dalam perkara pidana  serta pendaftaran perkara, penjatuhan vonis hakim, upaya hukum, eksekusi, penyitaan barang dan lain sebagainya dalam proses perkara perdata.   </w:t>
      </w: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Untuk menjalankan proses hukum dalam memperoleh keadilan tersebut tentunya harus dilihat secara komprehensif, baik dari segi aparatur penegak hukum dan struktur organisasi yang secara langsung dan tidak langsung mempunyai kewenangan dalam penanganan dan pengelolaan  berbagai perkara hukum, yang saat ini tersebar dan terpecah pada lembaga eksekutif dan yudikatif.</w:t>
      </w:r>
    </w:p>
    <w:p>
      <w:pPr>
        <w:pStyle w:val="style0"/>
        <w:ind w:firstLine="720"/>
        <w:jc w:val="both"/>
        <w:rPr>
          <w:rFonts w:ascii="Arial" w:cs="Arial" w:hAnsi="Arial"/>
          <w:color w:val="000000"/>
          <w:sz w:val="24"/>
          <w:szCs w:val="24"/>
        </w:rPr>
      </w:pPr>
      <w:r>
        <w:rPr>
          <w:rFonts w:ascii="Arial" w:cs="Arial" w:hAnsi="Arial"/>
          <w:color w:val="000000"/>
          <w:sz w:val="24"/>
          <w:szCs w:val="24"/>
        </w:rPr>
        <w:t xml:space="preserve">Upaya-upaya pembenahan berbagai permasalahan organisasi  sudah dirintis oleh pendahulu kita dengan adanya reformasi birokrasi dan telah dibentuknya peraturan perundangan yang lebih terfokus pada manajemen perkara di Mahkamah Agung.  Hal ini merupakan hal yang harus selalu dikembangkan dan dikuatkan bahkan diperbaharui apabila diprediksi akan menghambat berkembangnya profesionalisasi.  Penguatan fungsi-fungsi Kehakiman dalam memeriksa, mengadili dan memutuskan suatu perkara merupakan satu kesatuan dengan penguatan fungsi-fungsi kepaniteraan yang berfokus pada administrasi perkara.  </w:t>
      </w:r>
    </w:p>
    <w:p>
      <w:pPr>
        <w:pStyle w:val="style0"/>
        <w:ind w:firstLine="720"/>
        <w:jc w:val="both"/>
        <w:rPr>
          <w:rFonts w:ascii="Arial" w:cs="Arial" w:hAnsi="Arial"/>
          <w:color w:val="000000"/>
          <w:sz w:val="24"/>
          <w:szCs w:val="24"/>
        </w:rPr>
      </w:pPr>
    </w:p>
    <w:p>
      <w:pPr>
        <w:pStyle w:val="style0"/>
        <w:spacing w:after="200"/>
        <w:jc w:val="both"/>
        <w:rPr>
          <w:rFonts w:ascii="Arial" w:cs="Arial" w:hAnsi="Arial"/>
          <w:b/>
          <w:color w:val="000000"/>
          <w:sz w:val="24"/>
          <w:szCs w:val="24"/>
        </w:rPr>
      </w:pPr>
      <w:r>
        <w:rPr>
          <w:rFonts w:ascii="Arial" w:cs="Arial" w:hAnsi="Arial"/>
          <w:b/>
          <w:color w:val="000000"/>
          <w:sz w:val="24"/>
          <w:szCs w:val="24"/>
          <w:lang w:val="id-ID"/>
        </w:rPr>
        <w:t>Pengembangan Susunan Struktur Pengadilan Pusat dan Daerah/Provinsi</w:t>
      </w:r>
    </w:p>
    <w:p>
      <w:pPr>
        <w:pStyle w:val="style0"/>
        <w:ind w:firstLine="720"/>
        <w:jc w:val="both"/>
        <w:rPr>
          <w:rFonts w:ascii="Arial" w:cs="Arial" w:hAnsi="Arial"/>
          <w:color w:val="000000"/>
          <w:sz w:val="24"/>
          <w:szCs w:val="24"/>
        </w:rPr>
      </w:pPr>
      <w:r>
        <w:rPr>
          <w:rFonts w:ascii="Arial" w:cs="Arial" w:hAnsi="Arial"/>
          <w:color w:val="000000"/>
          <w:sz w:val="24"/>
          <w:szCs w:val="24"/>
        </w:rPr>
        <w:t xml:space="preserve">Pengembangan yang kemungkinan dapat dirintis dalam jabatan yang menyangkut non yudisial, seperti fungsi-fungsi administrator/pengelola jabatan kehakiman, pembinaan, pengawasan, etika, </w:t>
      </w:r>
      <w:r>
        <w:rPr>
          <w:rFonts w:ascii="Arial" w:cs="Arial" w:hAnsi="Arial"/>
          <w:i/>
          <w:color w:val="000000"/>
          <w:sz w:val="24"/>
          <w:szCs w:val="24"/>
        </w:rPr>
        <w:t>reward and punishment</w:t>
      </w:r>
      <w:r>
        <w:rPr>
          <w:rFonts w:ascii="Arial" w:cs="Arial" w:hAnsi="Arial"/>
          <w:color w:val="000000"/>
          <w:sz w:val="24"/>
          <w:szCs w:val="24"/>
        </w:rPr>
        <w:t xml:space="preserve"> atau kompensasi kehakiman.  Sedangkan untuk pengembangan jabatan yudisial seperti pembagian fungsi-fungsi; pertimbangan hukum, rehabilitasi serta pembagian  fungsi memeriksa, mengadili dan memutuskan perkara daerah,  perkara nasional bahkan tidak menutup kemungkinan perkara yang ruang lingkupnya internasional, karena perkembangan teknologi infomasi yang kemajuannya sangat cepat sebelum terbentuknya peraturan perundangan dan sebelum kita dapat memahaminya dengan sempurna.  Hal tersebut dapat terjadi pada sektor pemerintah, swasta dan masyarakat umum.</w:t>
      </w:r>
    </w:p>
    <w:p>
      <w:pPr>
        <w:pStyle w:val="style0"/>
        <w:ind w:firstLine="720"/>
        <w:jc w:val="both"/>
        <w:rPr>
          <w:rFonts w:ascii="Arial" w:cs="Arial" w:hAnsi="Arial"/>
          <w:color w:val="000000"/>
          <w:sz w:val="24"/>
          <w:szCs w:val="24"/>
        </w:rPr>
      </w:pPr>
      <w:r>
        <w:rPr>
          <w:rFonts w:ascii="Arial" w:cs="Arial" w:hAnsi="Arial"/>
          <w:color w:val="000000"/>
          <w:sz w:val="24"/>
          <w:szCs w:val="24"/>
        </w:rPr>
        <w:t>Penguatan fungsi-fungsi pengadilan yang lebih komplek dan sanggup menghadapi perkembangan teknologi dan pemikiran masyarakat yang terus menerus berubah merupakan hal yang penting dan segera diantisipasi.  Pembedaan dalam penguatan organisasi pengadilan pada tingkat kabupaten/kota, provinsi, daerah khusus otonomi, daerah khusus ibu kota harus menjadi pertimbangan penting dalam penyusunan struktur organisasi pengadilan tersebut.  Pertimbangan tersebut juga harus disesuaikan dengan perimbangan fungsi dengan kewenangan kuat antara fungsi-fungsi Kehakiman, Kepaniteraan, Kejurusitaan dan Kesekretariatan.</w:t>
      </w:r>
    </w:p>
    <w:p>
      <w:pPr>
        <w:pStyle w:val="style0"/>
        <w:autoSpaceDE w:val="false"/>
        <w:autoSpaceDN w:val="false"/>
        <w:adjustRightInd w:val="false"/>
        <w:ind w:firstLine="720"/>
        <w:jc w:val="both"/>
        <w:rPr>
          <w:rFonts w:ascii="Arial" w:cs="Arial" w:hAnsi="Arial"/>
          <w:sz w:val="24"/>
          <w:szCs w:val="24"/>
          <w:lang w:val="id-ID" w:eastAsia="id-ID"/>
        </w:rPr>
      </w:pPr>
      <w:r>
        <w:rPr>
          <w:rFonts w:ascii="Arial" w:cs="Arial" w:hAnsi="Arial"/>
          <w:sz w:val="24"/>
          <w:szCs w:val="24"/>
          <w:lang w:val="id-ID" w:eastAsia="id-ID"/>
        </w:rPr>
        <w:t>Fungsi-fungsi yang merupakan satu kesatuan dalam sistem peradilan tersebut, tercantu</w:t>
      </w:r>
      <w:r>
        <w:rPr>
          <w:rFonts w:ascii="Arial" w:cs="Arial" w:hAnsi="Arial"/>
          <w:sz w:val="24"/>
          <w:szCs w:val="24"/>
          <w:lang w:eastAsia="id-ID"/>
        </w:rPr>
        <w:t>m</w:t>
      </w:r>
      <w:r>
        <w:rPr>
          <w:rFonts w:ascii="Arial" w:cs="Arial" w:hAnsi="Arial"/>
          <w:sz w:val="24"/>
          <w:szCs w:val="24"/>
          <w:lang w:val="id-ID" w:eastAsia="id-ID"/>
        </w:rPr>
        <w:t xml:space="preserve"> dalam Undang-Undang Kekuasaan Kehakiman</w:t>
      </w:r>
      <w:r>
        <w:rPr>
          <w:rFonts w:ascii="Arial" w:cs="Arial" w:hAnsi="Arial"/>
          <w:sz w:val="24"/>
          <w:szCs w:val="24"/>
          <w:lang w:eastAsia="id-ID"/>
        </w:rPr>
        <w:t>.</w:t>
      </w:r>
      <w:r>
        <w:rPr>
          <w:rFonts w:ascii="Arial" w:cs="Arial" w:hAnsi="Arial"/>
          <w:sz w:val="24"/>
          <w:szCs w:val="24"/>
          <w:lang w:val="id-ID" w:eastAsia="id-ID"/>
        </w:rPr>
        <w:t xml:space="preserve">  Peradilan merupakan suatu sistem penyelesaian perkara hukum yang berlaku di Indonesia.  </w:t>
      </w:r>
    </w:p>
    <w:p>
      <w:pPr>
        <w:pStyle w:val="style0"/>
        <w:autoSpaceDE w:val="false"/>
        <w:autoSpaceDN w:val="false"/>
        <w:adjustRightInd w:val="false"/>
        <w:ind w:firstLine="720"/>
        <w:jc w:val="both"/>
        <w:rPr>
          <w:rFonts w:ascii="Arial" w:cs="Arial" w:hAnsi="Arial"/>
          <w:sz w:val="24"/>
          <w:szCs w:val="24"/>
          <w:lang w:val="id-ID" w:eastAsia="id-ID"/>
        </w:rPr>
      </w:pPr>
    </w:p>
    <w:p>
      <w:pPr>
        <w:pStyle w:val="style0"/>
        <w:autoSpaceDE w:val="false"/>
        <w:autoSpaceDN w:val="false"/>
        <w:adjustRightInd w:val="false"/>
        <w:ind w:left="426"/>
        <w:jc w:val="both"/>
        <w:rPr>
          <w:rFonts w:ascii="Arial" w:cs="Arial" w:hAnsi="Arial"/>
          <w:sz w:val="24"/>
          <w:szCs w:val="24"/>
          <w:lang w:val="id-ID" w:eastAsia="id-ID"/>
        </w:rPr>
      </w:pPr>
      <w:r>
        <w:rPr>
          <w:rFonts w:ascii="Arial" w:cs="Arial" w:hAnsi="Arial"/>
          <w:sz w:val="24"/>
          <w:szCs w:val="24"/>
          <w:lang w:val="id-ID" w:eastAsia="id-ID"/>
        </w:rPr>
        <w:t>Pasal 38 (1) Selain Mahkamah Agung dan badan peradilan dibawahnya serta Mahkamah Konstitusi, terdapat badan-badan lain yang fungsinya berkaitan dengan kekuasan kehakiman. (2) Fungsi yang berkaitan dengan kekuasaan kehakiman sebagaimana dimaksud pada ayat (1) meliputi:                              a. penyelidikan dan penyidikan; b. penuntutan; c. pelaksanaan putusan; d. pemberian jasa hukum; dan e. penyelesaian sengketa di luar pengadilan.       (3) Ketentuan mengenai badan-badan lain yang fungsinya berkaitan dengan kekuasaan kehakiman diatur dalam undang-</w:t>
      </w:r>
      <w:r>
        <w:rPr>
          <w:rFonts w:ascii="Arial" w:cs="Arial" w:hAnsi="Arial"/>
          <w:sz w:val="24"/>
          <w:szCs w:val="24"/>
          <w:lang w:val="id-ID" w:eastAsia="id-ID"/>
        </w:rPr>
        <w:t>undang.</w:t>
      </w:r>
      <w:r>
        <w:rPr>
          <w:rFonts w:ascii="Arial" w:cs="Arial" w:hAnsi="Arial"/>
          <w:color w:val="000000"/>
          <w:sz w:val="24"/>
          <w:szCs w:val="24"/>
          <w:vertAlign w:val="superscript"/>
          <w:lang w:val="sv-SE"/>
        </w:rPr>
        <w:footnoteReference w:id="18"/>
      </w:r>
      <w:r>
        <w:rPr>
          <w:rFonts w:ascii="Arial" w:cs="Arial" w:hAnsi="Arial"/>
          <w:sz w:val="24"/>
          <w:szCs w:val="24"/>
          <w:lang w:val="id-ID" w:eastAsia="id-ID"/>
        </w:rPr>
        <w:t xml:space="preserve">  (Penjelasan pasal 38; Yang dimaksud dengan “badan-badan lain” antara lain kepolisian, kejaksaan, advokat, dan lembaga pemasyarakatan.)</w:t>
      </w:r>
    </w:p>
    <w:p>
      <w:pPr>
        <w:pStyle w:val="style0"/>
        <w:autoSpaceDE w:val="false"/>
        <w:autoSpaceDN w:val="false"/>
        <w:adjustRightInd w:val="false"/>
        <w:ind w:left="567"/>
        <w:rPr>
          <w:rFonts w:ascii="Arial" w:cs="Arial" w:hAnsi="Arial"/>
          <w:sz w:val="24"/>
          <w:szCs w:val="24"/>
          <w:lang w:val="id-ID" w:eastAsia="id-ID"/>
        </w:rPr>
      </w:pPr>
    </w:p>
    <w:p>
      <w:pPr>
        <w:pStyle w:val="style0"/>
        <w:autoSpaceDE w:val="false"/>
        <w:autoSpaceDN w:val="false"/>
        <w:adjustRightInd w:val="false"/>
        <w:ind w:firstLine="567"/>
        <w:jc w:val="both"/>
        <w:rPr>
          <w:rFonts w:ascii="Arial" w:cs="Arial" w:hAnsi="Arial"/>
          <w:sz w:val="24"/>
          <w:szCs w:val="24"/>
          <w:lang w:val="id-ID" w:eastAsia="id-ID"/>
        </w:rPr>
      </w:pPr>
      <w:r>
        <w:rPr>
          <w:rFonts w:ascii="Arial" w:cs="Arial" w:hAnsi="Arial"/>
          <w:sz w:val="24"/>
          <w:szCs w:val="24"/>
          <w:lang w:val="id-ID" w:eastAsia="id-ID"/>
        </w:rPr>
        <w:t>Sebagai institusi yang mengeluarkan putusan (vonis), suatu fungsi yang dilaksanakan oleh Hakim, maka Pengadilan  merupakan bagian dari sistem peradilan yang mempunyai peranan yang sangat menentukan dalam penyelesaian suatu perkara.</w:t>
      </w:r>
    </w:p>
    <w:p>
      <w:pPr>
        <w:pStyle w:val="style0"/>
        <w:autoSpaceDE w:val="false"/>
        <w:autoSpaceDN w:val="false"/>
        <w:adjustRightInd w:val="false"/>
        <w:ind w:left="426"/>
        <w:jc w:val="both"/>
        <w:rPr>
          <w:rFonts w:ascii="Arial" w:cs="Arial" w:hAnsi="Arial"/>
          <w:sz w:val="24"/>
          <w:szCs w:val="24"/>
          <w:lang w:eastAsia="id-ID"/>
        </w:rPr>
      </w:pPr>
      <w:r>
        <w:rPr>
          <w:rFonts w:ascii="Arial" w:cs="Arial" w:hAnsi="Arial"/>
          <w:sz w:val="24"/>
          <w:szCs w:val="24"/>
          <w:lang w:val="id-ID" w:eastAsia="id-ID"/>
        </w:rPr>
        <w:t>Pasal 10 (1) Pengadilan dilarang menolak untuk memeriksa, mengadili, dan memutus suatu perkara yang diajukan dengan dalih bahwa hukum tidak ada atau kurang jelas, melainkan wajib untuk memeriksa dan mengadilinya. (2) Ketentuan sebagaimana dimaksud pada ayat (1) tidak menutup usaha penyelesaian perkara perdata secara perdamaian</w:t>
      </w:r>
      <w:r>
        <w:rPr>
          <w:rFonts w:ascii="Arial" w:cs="Arial" w:hAnsi="Arial"/>
          <w:sz w:val="24"/>
          <w:szCs w:val="24"/>
          <w:lang w:eastAsia="id-ID"/>
        </w:rPr>
        <w:t>.</w:t>
      </w:r>
      <w:r>
        <w:rPr>
          <w:rFonts w:ascii="Arial" w:cs="Arial" w:hAnsi="Arial"/>
          <w:color w:val="000000"/>
          <w:sz w:val="24"/>
          <w:szCs w:val="24"/>
          <w:vertAlign w:val="superscript"/>
          <w:lang w:val="sv-SE"/>
        </w:rPr>
        <w:footnoteReference w:id="19"/>
      </w:r>
    </w:p>
    <w:p>
      <w:pPr>
        <w:pStyle w:val="style0"/>
        <w:autoSpaceDE w:val="false"/>
        <w:autoSpaceDN w:val="false"/>
        <w:adjustRightInd w:val="false"/>
        <w:rPr>
          <w:rFonts w:ascii="Arial" w:cs="Arial" w:hAnsi="Arial"/>
          <w:sz w:val="24"/>
          <w:szCs w:val="24"/>
          <w:lang w:val="id-ID" w:eastAsia="id-ID"/>
        </w:rPr>
      </w:pP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 xml:space="preserve">Implementasi tugas pokok dan fungsi organisasi yang diamanahkan Undang-Undang Mahkamah Agung dan Undang-Undang Kehakiman, harus dilengkapi dengan peraturan untuk kepentingan internal yang mengatur unit organisasi di pusat dan daerah/wilayah provinsi.  Berkaitan dengan hal tersebut, maka telah diterbitkan suatu Peraturan Mahkamah Agung yang menguraikan tugas dan fungsi Pengadilan yang berada dilingkungan </w:t>
      </w:r>
      <w:r>
        <w:rPr>
          <w:rFonts w:ascii="Arial" w:cs="Arial" w:hAnsi="Arial"/>
          <w:color w:val="000000"/>
          <w:sz w:val="24"/>
          <w:szCs w:val="24"/>
        </w:rPr>
        <w:t xml:space="preserve"> </w:t>
      </w:r>
      <w:r>
        <w:rPr>
          <w:rFonts w:ascii="Arial" w:cs="Arial" w:hAnsi="Arial"/>
          <w:color w:val="000000"/>
          <w:sz w:val="24"/>
          <w:szCs w:val="24"/>
          <w:lang w:val="id-ID"/>
        </w:rPr>
        <w:t xml:space="preserve">MA, di pusat dan provinsi.  Peraturan Mahkamah Agung (Perma) tersebut adalah Perma No. 7 Tahun 2015 Tentang Organisasi dan Tata Kerja Kapaniteraan dan Kesekretariatan </w:t>
      </w:r>
      <w:r>
        <w:rPr>
          <w:rFonts w:ascii="Arial" w:cs="Arial" w:hAnsi="Arial"/>
          <w:color w:val="000000"/>
          <w:sz w:val="24"/>
          <w:szCs w:val="24"/>
          <w:lang w:val="id-ID"/>
        </w:rPr>
        <w:t>Pe®ngadilan</w:t>
      </w:r>
      <w:r>
        <w:rPr>
          <w:rFonts w:ascii="Arial" w:cs="Arial" w:hAnsi="Arial"/>
          <w:color w:val="000000"/>
          <w:sz w:val="24"/>
          <w:szCs w:val="24"/>
          <w:lang w:val="id-ID"/>
        </w:rPr>
        <w:t xml:space="preserve"> serta Perma No. 1 Tahun 2017, Tentang Organisasi dan Tata Kerja Kapaniteraan dan Kesekretariatan </w:t>
      </w:r>
      <w:r>
        <w:rPr>
          <w:rFonts w:ascii="Arial" w:cs="Arial" w:hAnsi="Arial"/>
          <w:color w:val="000000"/>
          <w:sz w:val="24"/>
          <w:szCs w:val="24"/>
          <w:lang w:val="id-ID"/>
        </w:rPr>
        <w:t>Pe®ngadilan</w:t>
      </w:r>
      <w:r>
        <w:rPr>
          <w:rFonts w:ascii="Arial" w:cs="Arial" w:hAnsi="Arial"/>
          <w:color w:val="000000"/>
          <w:sz w:val="24"/>
          <w:szCs w:val="24"/>
          <w:lang w:val="id-ID"/>
        </w:rPr>
        <w:t xml:space="preserve">. </w:t>
      </w: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 xml:space="preserve">Pada unit organisasi Pengadilan tersebut yang menonjol dan terstruktur seolah-olah hanyalah fungsi kepaniteraan dan kesekretariatan, sedangkan fungsi Hakim hanya sebagai juru bicara pengadilan dan fungsi Kejurusitaan yang </w:t>
      </w:r>
      <w:r>
        <w:rPr>
          <w:rFonts w:ascii="Arial" w:cs="Arial" w:hAnsi="Arial"/>
          <w:color w:val="000000"/>
          <w:sz w:val="24"/>
          <w:szCs w:val="24"/>
          <w:lang w:val="id-ID"/>
        </w:rPr>
        <w:t>belum menjadi peran penting dalam perkara-perkara perdatanya.  Dengan demikian Perma tersebut harus diperbaiki dan diubah sesuai amanah Undang-Undang Kekuasaan Kehakiman dan Undang-Undang Mahkamah Agung, seiring dengan peningkatan dan pengembangan fungsi lain pengadilan, sehingga fungsi tersebut saling melengkapi beberapa fungsi penting lainnya, saling menguatkan dan mengisi kekurangan-kekurangan antara satu dengan yang lainnya.</w:t>
      </w: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Untuk mengatur dan menguraikan suatu tugas dan fungsi organisasi dalam melaksanakan fungsi penyelenggaraan dan pelayanan kepada publik, istilah atau judul yang tepat untuk perma tersebut adalah Organisasi dan Tata Kerja Pengadilan yang</w:t>
      </w:r>
      <w:r>
        <w:rPr>
          <w:rFonts w:ascii="Arial" w:cs="Arial" w:hAnsi="Arial"/>
          <w:color w:val="000000"/>
          <w:sz w:val="24"/>
          <w:szCs w:val="24"/>
        </w:rPr>
        <w:t xml:space="preserve"> </w:t>
      </w:r>
      <w:r>
        <w:rPr>
          <w:rFonts w:ascii="Arial" w:cs="Arial" w:hAnsi="Arial"/>
          <w:color w:val="000000"/>
          <w:sz w:val="24"/>
          <w:szCs w:val="24"/>
          <w:lang w:val="id-ID"/>
        </w:rPr>
        <w:t xml:space="preserve">harus menjalankan </w:t>
      </w:r>
      <w:r>
        <w:rPr>
          <w:rFonts w:ascii="Arial" w:cs="Arial" w:hAnsi="Arial"/>
          <w:color w:val="000000"/>
          <w:sz w:val="24"/>
          <w:szCs w:val="24"/>
        </w:rPr>
        <w:t xml:space="preserve"> </w:t>
      </w:r>
      <w:r>
        <w:rPr>
          <w:rFonts w:ascii="Arial" w:cs="Arial" w:hAnsi="Arial"/>
          <w:color w:val="000000"/>
          <w:sz w:val="24"/>
          <w:szCs w:val="24"/>
          <w:lang w:val="id-ID"/>
        </w:rPr>
        <w:t>tugas dan fungsi Kehakiman, Kepaniteraan, Kejurusitaan dan Kesekretariatan serta tugas-tugas fungsional lain yang diperlukan dan harus ada dalam unit organisasi tersebut.</w:t>
      </w: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Pada Perma yang telah diterbitkan tersebut belum terlihat tegas dan jelas batasan dan uraian terperinci mengenai kewenangan yang menjadi tanggung jawab masing-masing profesinya, sehingga apabila tidak diperbaharui dan tidak dilakukan perubahan-perubahan penting, maka upaya pimpinan organisasi MA untuk mewujudkan peradilan yang maju dan modern menjadi lebih berat dan tidak mencapai sasaran dan tujuan yang ditargetkan.</w:t>
      </w:r>
    </w:p>
    <w:p>
      <w:pPr>
        <w:pStyle w:val="style0"/>
        <w:autoSpaceDE w:val="false"/>
        <w:autoSpaceDN w:val="false"/>
        <w:adjustRightInd w:val="false"/>
        <w:ind w:firstLine="720"/>
        <w:jc w:val="both"/>
        <w:rPr>
          <w:rFonts w:ascii="Arial" w:cs="Arial" w:hAnsi="Arial"/>
          <w:color w:val="000000"/>
          <w:sz w:val="24"/>
          <w:szCs w:val="24"/>
          <w:lang w:val="id-ID"/>
        </w:rPr>
      </w:pPr>
      <w:r>
        <w:rPr>
          <w:rFonts w:ascii="Arial" w:cs="Arial" w:hAnsi="Arial"/>
          <w:color w:val="000000"/>
          <w:sz w:val="24"/>
          <w:szCs w:val="24"/>
          <w:lang w:val="id-ID"/>
        </w:rPr>
        <w:t>Paparan tersebut diatas merupakan hal berhubungan erat dan mempunyai peranan penting dalam penyelesaian perkara kasasi sebagai bagian dari upaya hukum biasa yang dapat ditempuh oleh masyarakat dalam memperoleh rasa keadilannya.  Jabatan-jabatan struktural yang diemban oleh seseorang sebagai yang memegang amanah jabatannya tersebut merupakan mata rantai yang mempunyai peranan yang menentukan lancar tidaknya suatu penyelesaian perkara yang menjadi tugas dan tanggungjawabnnya tersebut.</w:t>
      </w:r>
    </w:p>
    <w:bookmarkStart w:id="2" w:name="_Hlk68858100"/>
    <w:p>
      <w:pPr>
        <w:pStyle w:val="style0"/>
        <w:ind w:firstLine="720"/>
        <w:jc w:val="both"/>
        <w:rPr>
          <w:rFonts w:ascii="Arial" w:cs="Arial" w:hAnsi="Arial"/>
          <w:color w:val="000000"/>
          <w:sz w:val="24"/>
          <w:szCs w:val="24"/>
          <w:lang w:val="id-ID"/>
        </w:rPr>
      </w:pPr>
      <w:r>
        <w:rPr>
          <w:rFonts w:ascii="Arial" w:cs="Arial" w:hAnsi="Arial"/>
          <w:color w:val="000000"/>
          <w:sz w:val="24"/>
          <w:szCs w:val="24"/>
        </w:rPr>
        <w:t xml:space="preserve">Pada </w:t>
      </w:r>
      <w:r>
        <w:rPr>
          <w:rFonts w:ascii="Arial" w:cs="Arial" w:hAnsi="Arial"/>
          <w:color w:val="000000"/>
          <w:sz w:val="24"/>
          <w:szCs w:val="24"/>
        </w:rPr>
        <w:t>saat ini, praktek penyelesaian perkara kasasi terdapat</w:t>
      </w:r>
      <w:r>
        <w:rPr>
          <w:rFonts w:ascii="Arial" w:cs="Arial" w:hAnsi="Arial"/>
          <w:color w:val="000000"/>
          <w:sz w:val="24"/>
          <w:szCs w:val="24"/>
        </w:rPr>
        <w:t xml:space="preserve"> alur yang dapat menghambat penyelesaian kasasi pada tingkat pusat</w:t>
      </w:r>
      <w:r>
        <w:rPr>
          <w:rFonts w:ascii="Arial" w:cs="Arial" w:hAnsi="Arial"/>
          <w:color w:val="000000"/>
          <w:sz w:val="24"/>
          <w:szCs w:val="24"/>
          <w:lang w:val="id-ID"/>
        </w:rPr>
        <w:t>. Berkas dari instansi pengaju masuk pada dua pintu unit eselen I (</w:t>
      </w:r>
      <w:r>
        <w:rPr>
          <w:rFonts w:ascii="Arial" w:cs="Arial" w:hAnsi="Arial"/>
          <w:color w:val="000000"/>
          <w:sz w:val="24"/>
          <w:szCs w:val="24"/>
        </w:rPr>
        <w:t>B</w:t>
      </w:r>
      <w:r>
        <w:rPr>
          <w:rFonts w:ascii="Arial" w:cs="Arial" w:hAnsi="Arial"/>
          <w:color w:val="000000"/>
          <w:sz w:val="24"/>
          <w:szCs w:val="24"/>
          <w:lang w:val="id-ID"/>
        </w:rPr>
        <w:t xml:space="preserve">iro umum pada Unit Sekretariat MA dan </w:t>
      </w:r>
      <w:r>
        <w:rPr>
          <w:rFonts w:ascii="Arial" w:cs="Arial" w:hAnsi="Arial"/>
          <w:color w:val="000000"/>
          <w:sz w:val="24"/>
          <w:szCs w:val="24"/>
          <w:lang w:val="id-ID"/>
        </w:rPr>
        <w:t xml:space="preserve">Direktorat Pratalak pada unit Eselon I Badan/Direktorat Jenderal), dan berakhir pada Unit eselon I lain (Kepaniteraan), </w:t>
      </w:r>
      <w:r>
        <w:rPr>
          <w:rFonts w:ascii="Arial" w:cs="Arial" w:hAnsi="Arial"/>
          <w:color w:val="000000"/>
          <w:sz w:val="24"/>
          <w:szCs w:val="24"/>
        </w:rPr>
        <w:t>sehingga penerapan prinsip peradilan yang sederhana, cepat dan murah agak sulit diterapkan dalam  prakteknya.  Disamping hal tersebut juga ada permasalahan mengenai bagian yang mengurus penyelesaian perkara yang tidak tepat sesuai dengan substansi masalahnya yang seharusnya lebih mengarah pada manajemen perkaranya yang harus ditonjolkan dan dikedepankan.  Direktorat</w:t>
      </w:r>
      <w:r>
        <w:rPr>
          <w:rFonts w:ascii="Arial" w:cs="Arial" w:hAnsi="Arial"/>
          <w:sz w:val="24"/>
          <w:szCs w:val="24"/>
        </w:rPr>
        <w:t xml:space="preserve"> Pranata</w:t>
      </w:r>
      <w:r>
        <w:rPr>
          <w:rFonts w:ascii="Arial" w:cs="Arial" w:hAnsi="Arial"/>
          <w:b/>
          <w:color w:val="000000"/>
          <w:sz w:val="24"/>
          <w:szCs w:val="24"/>
        </w:rPr>
        <w:t xml:space="preserve"> </w:t>
      </w:r>
      <w:r>
        <w:rPr>
          <w:rFonts w:ascii="Arial" w:cs="Arial" w:hAnsi="Arial"/>
          <w:color w:val="000000"/>
          <w:sz w:val="24"/>
          <w:szCs w:val="24"/>
          <w:lang w:val="id-ID"/>
        </w:rPr>
        <w:t xml:space="preserve">dan Tata Laksana Perkara (terdapat pada Direktorat Jenderal/Badan) </w:t>
      </w:r>
      <w:r>
        <w:rPr>
          <w:rFonts w:ascii="Arial" w:cs="Arial" w:hAnsi="Arial"/>
          <w:color w:val="000000"/>
          <w:sz w:val="24"/>
          <w:szCs w:val="24"/>
        </w:rPr>
        <w:t>yang terdiri atas jabatan stru</w:t>
      </w:r>
      <w:r>
        <w:rPr>
          <w:rFonts w:ascii="Arial" w:cs="Arial" w:hAnsi="Arial"/>
          <w:color w:val="000000"/>
          <w:sz w:val="24"/>
          <w:szCs w:val="24"/>
          <w:lang w:val="id-ID"/>
        </w:rPr>
        <w:t>k</w:t>
      </w:r>
      <w:r>
        <w:rPr>
          <w:rFonts w:ascii="Arial" w:cs="Arial" w:hAnsi="Arial"/>
          <w:color w:val="000000"/>
          <w:sz w:val="24"/>
          <w:szCs w:val="24"/>
        </w:rPr>
        <w:t xml:space="preserve">tural tersebut seyogyanya menjadi bagian dari Kepaniteraan.  Hal ini merupakan fungsi-fungsi penting dalam penyelenggaraan  sistem peradilan yang lebih memperhatikan pada prinsip-prinsip sederhana,  cepat dan biaya ringan, sehingga diperlukan suatu evaluasi tersendiri dalam pelaksanaan tugas pokok dan fungsi organisasi yang akan  berpengaruh pada visi dan misi Mahkamah Agung. </w:t>
      </w:r>
    </w:p>
    <w:bookmarkEnd w:id="2"/>
    <w:p>
      <w:pPr>
        <w:pStyle w:val="style0"/>
        <w:ind w:left="426"/>
        <w:jc w:val="both"/>
        <w:rPr>
          <w:rFonts w:ascii="Arial" w:cs="Arial" w:hAnsi="Arial"/>
          <w:color w:val="000000"/>
          <w:sz w:val="24"/>
          <w:szCs w:val="24"/>
        </w:rPr>
      </w:pPr>
      <w:r>
        <w:rPr>
          <w:rFonts w:ascii="Arial" w:cs="Arial" w:hAnsi="Arial"/>
          <w:color w:val="000000"/>
          <w:sz w:val="24"/>
          <w:szCs w:val="24"/>
          <w:lang w:val="id-ID"/>
        </w:rPr>
        <w:t>Sistem pada intinya menunjuk dua hal; 1). Menunjukkan suatu identitas, suatu wujud benda (abstrak atau konseptual maupun benda kongkrit) yang memiliki tata aturan atau susunan struktural dari bagian-bagiannya; 2) menunjuk suatu metode atau tata cara yang menunjuk pada suatu rencana metode, alat atau tata cara untuk mencapai sesuatu</w:t>
      </w:r>
      <w:r>
        <w:rPr>
          <w:rFonts w:ascii="Arial" w:cs="Arial" w:hAnsi="Arial"/>
          <w:color w:val="000000"/>
          <w:sz w:val="24"/>
          <w:szCs w:val="24"/>
        </w:rPr>
        <w:t>.</w:t>
      </w:r>
      <w:r>
        <w:rPr>
          <w:rFonts w:ascii="Arial" w:cs="Arial" w:hAnsi="Arial"/>
          <w:color w:val="000000"/>
          <w:sz w:val="24"/>
          <w:szCs w:val="24"/>
          <w:vertAlign w:val="superscript"/>
          <w:lang w:val="sv-SE"/>
        </w:rPr>
        <w:footnoteReference w:id="20"/>
      </w:r>
    </w:p>
    <w:p>
      <w:pPr>
        <w:pStyle w:val="style0"/>
        <w:ind w:firstLine="720"/>
        <w:jc w:val="both"/>
        <w:rPr>
          <w:rFonts w:ascii="Arial" w:cs="Arial" w:hAnsi="Arial"/>
          <w:color w:val="000000"/>
          <w:sz w:val="24"/>
          <w:szCs w:val="24"/>
          <w:lang w:val="id-ID"/>
        </w:rPr>
      </w:pPr>
    </w:p>
    <w:p>
      <w:pPr>
        <w:pStyle w:val="style0"/>
        <w:ind w:firstLine="720"/>
        <w:jc w:val="both"/>
        <w:rPr>
          <w:rFonts w:ascii="Arial" w:cs="Arial" w:hAnsi="Arial"/>
          <w:color w:val="000000"/>
          <w:sz w:val="24"/>
          <w:szCs w:val="24"/>
          <w:lang w:val="id-ID"/>
        </w:rPr>
      </w:pPr>
      <w:r>
        <w:rPr>
          <w:rFonts w:ascii="Arial" w:cs="Arial" w:hAnsi="Arial"/>
          <w:color w:val="000000"/>
          <w:sz w:val="24"/>
          <w:szCs w:val="24"/>
          <w:lang w:val="id-ID"/>
        </w:rPr>
        <w:t>Sistem sebagai suatu wujud (entitas); suatu himpunan bagian yang saling berkaitan bentuk satu keseluruhan yang rumit atau kompleks tetapi merupakan satu kesatuan seperti jam mekanik, mobil, paguyuban, lembaga pemerintahan, alam semesta dsb.  Bersifat deskriptif atau menggambarkan.  Setiap benda/unsur yang ada di dalam suatu sistem akan bergerak bersama-sama untuk mencapai suatu tujuan keseluruhan, tujuan bersama atau tujuan sistem yang bersangkutan, sehingga dapat dibedakan dengan sistem lain.</w:t>
      </w:r>
    </w:p>
    <w:p>
      <w:pPr>
        <w:pStyle w:val="style0"/>
        <w:ind w:firstLine="720"/>
        <w:jc w:val="center"/>
        <w:rPr>
          <w:rFonts w:ascii="Arial" w:cs="Arial" w:hAnsi="Arial"/>
          <w:color w:val="000000"/>
          <w:sz w:val="24"/>
          <w:szCs w:val="24"/>
          <w:lang w:val="id-ID"/>
        </w:rPr>
      </w:pPr>
      <w:r>
        <w:rPr>
          <w:rFonts w:ascii="Arial" w:cs="Arial" w:hAnsi="Arial"/>
          <w:color w:val="000000"/>
          <w:sz w:val="24"/>
          <w:szCs w:val="24"/>
          <w:lang w:val="id-ID"/>
        </w:rPr>
        <w:t xml:space="preserve">Gambar </w:t>
      </w:r>
      <w:r>
        <w:rPr>
          <w:rFonts w:ascii="Arial" w:cs="Arial" w:hAnsi="Arial"/>
          <w:color w:val="000000"/>
          <w:sz w:val="24"/>
          <w:szCs w:val="24"/>
        </w:rPr>
        <w:t>2</w:t>
      </w:r>
      <w:r>
        <w:rPr>
          <w:rFonts w:ascii="Arial" w:cs="Arial" w:hAnsi="Arial"/>
          <w:color w:val="000000"/>
          <w:sz w:val="24"/>
          <w:szCs w:val="24"/>
          <w:lang w:val="id-ID"/>
        </w:rPr>
        <w:t>. Unsur-Unsur Dalam Suatu Sistem</w:t>
      </w:r>
    </w:p>
    <w:tbl>
      <w:tblPr>
        <w:tblW w:w="4786" w:type="dxa"/>
        <w:tblLook w:val="04A0" w:firstRow="1" w:lastRow="0" w:firstColumn="1" w:lastColumn="0" w:noHBand="0" w:noVBand="1"/>
      </w:tblPr>
      <w:tblGrid>
        <w:gridCol w:w="1101"/>
        <w:gridCol w:w="3685"/>
      </w:tblGrid>
      <w:tr>
        <w:trPr/>
        <w:tc>
          <w:tcPr>
            <w:tcW w:w="1101" w:type="dxa"/>
            <w:tcBorders/>
            <w:shd w:val="clear" w:color="auto" w:fill="auto"/>
          </w:tcPr>
          <w:p>
            <w:pPr>
              <w:pStyle w:val="style0"/>
              <w:jc w:val="center"/>
              <w:rPr>
                <w:rFonts w:ascii="Arial" w:cs="Arial" w:hAnsi="Arial"/>
                <w:color w:val="000000"/>
                <w:sz w:val="24"/>
                <w:szCs w:val="24"/>
                <w:lang w:val="id-ID"/>
              </w:rPr>
            </w:pPr>
            <w:r>
              <w:rPr>
                <w:rFonts w:ascii="Arial" w:cs="Arial" w:hAnsi="Arial"/>
                <w:noProof/>
                <w:sz w:val="22"/>
                <w:szCs w:val="22"/>
              </w:rPr>
              <mc:AlternateContent>
                <mc:Choice Requires="wps">
                  <w:drawing>
                    <wp:anchor distT="0" distB="0" distL="0" distR="0" simplePos="false" relativeHeight="8" behindDoc="false" locked="false" layoutInCell="true" allowOverlap="true">
                      <wp:simplePos x="0" y="0"/>
                      <wp:positionH relativeFrom="column">
                        <wp:posOffset>598384</wp:posOffset>
                      </wp:positionH>
                      <wp:positionV relativeFrom="paragraph">
                        <wp:posOffset>118191</wp:posOffset>
                      </wp:positionV>
                      <wp:extent cx="451261" cy="1"/>
                      <wp:effectExtent l="0" t="76200" r="25400" b="95250"/>
                      <wp:wrapNone/>
                      <wp:docPr id="1027" name="Straight Arrow Connector 3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51261" cy="1"/>
                              </a:xfrm>
                              <a:prstGeom prst="straightConnector1"/>
                              <a:ln cmpd="sng" cap="flat" w="9525">
                                <a:solidFill>
                                  <a:srgbClr val="000000"/>
                                </a:solidFill>
                                <a:prstDash val="solid"/>
                                <a:round/>
                                <a:headEnd len="med" w="med" type="none"/>
                                <a:tailEnd len="med" w="med" type="triangl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1027" type="#_x0000_t32" filled="f" style="position:absolute;margin-left:47.12pt;margin-top:9.31pt;width:35.53pt;height:0.0pt;z-index:8;mso-position-horizontal-relative:text;mso-position-vertical-relative:text;mso-width-percent:0;mso-height-percent:0;mso-width-relative:page;mso-height-relative:page;mso-wrap-distance-left:0.0pt;mso-wrap-distance-right:0.0pt;visibility:visible;flip:y;">
                      <v:stroke endarrow="block"/>
                      <v:fill/>
                    </v:shape>
                  </w:pict>
                </mc:Fallback>
              </mc:AlternateContent>
            </w:r>
            <w:r>
              <w:rPr>
                <w:rFonts w:ascii="Arial" w:cs="Arial" w:hAnsi="Arial"/>
                <w:sz w:val="22"/>
                <w:szCs w:val="22"/>
                <w:lang w:val="id-ID"/>
              </w:rPr>
              <w:t>Masing-masing unsur</w:t>
            </w:r>
          </w:p>
        </w:tc>
        <w:tc>
          <w:tcPr>
            <w:tcW w:w="3685" w:type="dxa"/>
            <w:tcBorders/>
            <w:shd w:val="clear" w:color="auto" w:fill="auto"/>
          </w:tcPr>
          <w:p>
            <w:pPr>
              <w:pStyle w:val="style0"/>
              <w:jc w:val="center"/>
              <w:rPr>
                <w:rFonts w:ascii="Arial" w:cs="Arial" w:hAnsi="Arial"/>
                <w:sz w:val="22"/>
                <w:szCs w:val="22"/>
                <w:lang w:val="id-ID"/>
              </w:rPr>
            </w:pPr>
            <w:r>
              <w:rPr>
                <w:rFonts w:ascii="Arial" w:cs="Arial" w:hAnsi="Arial"/>
                <w:sz w:val="22"/>
                <w:szCs w:val="22"/>
                <w:lang w:val="id-ID"/>
              </w:rPr>
              <w:t>memiliki fungsi</w:t>
            </w:r>
          </w:p>
          <w:p>
            <w:pPr>
              <w:pStyle w:val="style0"/>
              <w:jc w:val="center"/>
              <w:rPr>
                <w:rFonts w:ascii="Arial" w:cs="Arial" w:hAnsi="Arial"/>
                <w:sz w:val="22"/>
                <w:szCs w:val="22"/>
                <w:lang w:val="id-ID"/>
              </w:rPr>
            </w:pPr>
            <w:r>
              <w:rPr>
                <w:rFonts w:ascii="Arial" w:cs="Arial" w:hAnsi="Arial"/>
                <w:noProof/>
                <w:sz w:val="22"/>
                <w:szCs w:val="22"/>
              </w:rPr>
              <mc:AlternateContent>
                <mc:Choice Requires="wps">
                  <w:drawing>
                    <wp:anchor distT="0" distB="0" distL="0" distR="0" simplePos="false" relativeHeight="2" behindDoc="false" locked="false" layoutInCell="true" allowOverlap="true">
                      <wp:simplePos x="0" y="0"/>
                      <wp:positionH relativeFrom="column">
                        <wp:posOffset>1086782</wp:posOffset>
                      </wp:positionH>
                      <wp:positionV relativeFrom="paragraph">
                        <wp:posOffset>52350</wp:posOffset>
                      </wp:positionV>
                      <wp:extent cx="0" cy="106877"/>
                      <wp:effectExtent l="76200" t="0" r="57150" b="64770"/>
                      <wp:wrapNone/>
                      <wp:docPr id="1028" name="Straight Arrow Connector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06877"/>
                              </a:xfrm>
                              <a:prstGeom prst="straightConnector1"/>
                              <a:ln cmpd="sng" cap="flat" w="9525">
                                <a:solidFill>
                                  <a:srgbClr val="000000"/>
                                </a:solidFill>
                                <a:prstDash val="solid"/>
                                <a:round/>
                                <a:headEnd len="med" w="med" type="none"/>
                                <a:tailEnd len="med" w="med" type="triangl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28" type="#_x0000_t32" filled="f" style="position:absolute;margin-left:85.57pt;margin-top:4.12pt;width:0.0pt;height:8.42pt;z-index:2;mso-position-horizontal-relative:text;mso-position-vertical-relative:text;mso-width-percent:0;mso-height-percent:0;mso-width-relative:page;mso-height-relative:page;mso-wrap-distance-left:0.0pt;mso-wrap-distance-right:0.0pt;visibility:visible;">
                      <v:stroke endarrow="block"/>
                      <v:fill/>
                    </v:shape>
                  </w:pict>
                </mc:Fallback>
              </mc:AlternateContent>
            </w:r>
          </w:p>
          <w:p>
            <w:pPr>
              <w:pStyle w:val="style0"/>
              <w:jc w:val="center"/>
              <w:rPr>
                <w:rFonts w:ascii="Arial" w:cs="Arial" w:hAnsi="Arial"/>
                <w:sz w:val="22"/>
                <w:szCs w:val="22"/>
                <w:lang w:val="id-ID"/>
              </w:rPr>
            </w:pPr>
            <w:r>
              <w:rPr>
                <w:rFonts w:ascii="Arial" w:cs="Arial" w:hAnsi="Arial"/>
                <w:sz w:val="22"/>
                <w:szCs w:val="22"/>
                <w:lang w:val="id-ID"/>
              </w:rPr>
              <w:t>Bergerak bersama</w:t>
            </w:r>
          </w:p>
          <w:p>
            <w:pPr>
              <w:pStyle w:val="style0"/>
              <w:jc w:val="center"/>
              <w:rPr>
                <w:rFonts w:ascii="Arial" w:cs="Arial" w:hAnsi="Arial"/>
                <w:sz w:val="22"/>
                <w:szCs w:val="22"/>
                <w:lang w:val="id-ID"/>
              </w:rPr>
            </w:pPr>
            <w:r>
              <w:rPr>
                <w:rFonts w:ascii="Arial" w:cs="Arial" w:hAnsi="Arial"/>
                <w:noProof/>
                <w:sz w:val="22"/>
                <w:szCs w:val="22"/>
              </w:rPr>
              <mc:AlternateContent>
                <mc:Choice Requires="wps">
                  <w:drawing>
                    <wp:anchor distT="0" distB="0" distL="0" distR="0" simplePos="false" relativeHeight="3" behindDoc="false" locked="false" layoutInCell="true" allowOverlap="true">
                      <wp:simplePos x="0" y="0"/>
                      <wp:positionH relativeFrom="column">
                        <wp:posOffset>1086782</wp:posOffset>
                      </wp:positionH>
                      <wp:positionV relativeFrom="paragraph">
                        <wp:posOffset>99175</wp:posOffset>
                      </wp:positionV>
                      <wp:extent cx="0" cy="83052"/>
                      <wp:effectExtent l="76200" t="0" r="57150" b="50800"/>
                      <wp:wrapNone/>
                      <wp:docPr id="1029" name="Straight Arrow Connector 2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83052"/>
                              </a:xfrm>
                              <a:prstGeom prst="straightConnector1"/>
                              <a:ln cmpd="sng" cap="flat" w="9525">
                                <a:solidFill>
                                  <a:srgbClr val="000000"/>
                                </a:solidFill>
                                <a:prstDash val="solid"/>
                                <a:round/>
                                <a:headEnd len="med" w="med" type="none"/>
                                <a:tailEnd len="med" w="med" type="triangl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29" type="#_x0000_t32" filled="f" style="position:absolute;margin-left:85.57pt;margin-top:7.81pt;width:0.0pt;height:6.54pt;z-index:3;mso-position-horizontal-relative:text;mso-position-vertical-relative:text;mso-width-percent:0;mso-height-percent:0;mso-width-relative:page;mso-height-relative:page;mso-wrap-distance-left:0.0pt;mso-wrap-distance-right:0.0pt;visibility:visible;">
                      <v:stroke endarrow="block"/>
                      <v:fill/>
                    </v:shape>
                  </w:pict>
                </mc:Fallback>
              </mc:AlternateContent>
            </w:r>
          </w:p>
          <w:p>
            <w:pPr>
              <w:pStyle w:val="style0"/>
              <w:jc w:val="center"/>
              <w:rPr>
                <w:rFonts w:ascii="Arial" w:cs="Arial" w:hAnsi="Arial"/>
                <w:color w:val="000000"/>
                <w:sz w:val="24"/>
                <w:szCs w:val="24"/>
                <w:lang w:val="id-ID"/>
              </w:rPr>
            </w:pPr>
            <w:r>
              <w:rPr>
                <w:rFonts w:ascii="Arial" w:cs="Arial" w:hAnsi="Arial"/>
                <w:sz w:val="22"/>
                <w:szCs w:val="22"/>
                <w:lang w:val="id-ID"/>
              </w:rPr>
              <w:t>Saling berhubungan</w:t>
            </w:r>
          </w:p>
        </w:tc>
      </w:tr>
    </w:tbl>
    <w:p>
      <w:pPr>
        <w:pStyle w:val="style0"/>
        <w:ind w:firstLine="720"/>
        <w:jc w:val="both"/>
        <w:rPr>
          <w:rFonts w:ascii="Arial" w:cs="Arial" w:hAnsi="Arial"/>
          <w:color w:val="000000"/>
          <w:sz w:val="24"/>
          <w:szCs w:val="24"/>
          <w:lang w:val="id-ID"/>
        </w:rPr>
      </w:pPr>
    </w:p>
    <w:p>
      <w:pPr>
        <w:pStyle w:val="style0"/>
        <w:ind w:firstLine="720"/>
        <w:jc w:val="both"/>
        <w:rPr>
          <w:rFonts w:ascii="Arial" w:cs="Arial" w:hAnsi="Arial"/>
          <w:color w:val="000000"/>
          <w:sz w:val="24"/>
          <w:szCs w:val="24"/>
          <w:lang w:val="id-ID"/>
        </w:rPr>
      </w:pPr>
      <w:r>
        <w:rPr>
          <w:rFonts w:ascii="Arial" w:cs="Arial" w:hAnsi="Arial"/>
          <w:color w:val="000000"/>
          <w:sz w:val="24"/>
          <w:szCs w:val="24"/>
          <w:lang w:val="id-ID"/>
        </w:rPr>
        <w:t>Sistem dipergunakan untuk menunjuk tatacara atau prosedur, sehingga sistem bersifat preskriptif.</w:t>
      </w:r>
    </w:p>
    <w:p>
      <w:pPr>
        <w:pStyle w:val="style0"/>
        <w:ind w:firstLine="720"/>
        <w:jc w:val="center"/>
        <w:rPr>
          <w:rFonts w:ascii="Arial" w:cs="Arial" w:hAnsi="Arial"/>
          <w:color w:val="000000"/>
          <w:sz w:val="24"/>
          <w:szCs w:val="24"/>
          <w:lang w:val="id-ID"/>
        </w:rPr>
      </w:pPr>
      <w:r>
        <w:rPr>
          <w:rFonts w:ascii="Arial" w:cs="Arial" w:hAnsi="Arial"/>
          <w:color w:val="000000"/>
          <w:sz w:val="24"/>
          <w:szCs w:val="24"/>
          <w:lang w:val="id-ID"/>
        </w:rPr>
        <w:t xml:space="preserve">Gambar </w:t>
      </w:r>
      <w:r>
        <w:rPr>
          <w:rFonts w:ascii="Arial" w:cs="Arial" w:hAnsi="Arial"/>
          <w:color w:val="000000"/>
          <w:sz w:val="24"/>
          <w:szCs w:val="24"/>
        </w:rPr>
        <w:t>3</w:t>
      </w:r>
      <w:r>
        <w:rPr>
          <w:rFonts w:ascii="Arial" w:cs="Arial" w:hAnsi="Arial"/>
          <w:color w:val="000000"/>
          <w:sz w:val="24"/>
          <w:szCs w:val="24"/>
          <w:lang w:val="id-ID"/>
        </w:rPr>
        <w:t>. Sistem Bersifat Preskriptif</w:t>
      </w:r>
    </w:p>
    <w:tbl>
      <w:tblPr>
        <w:tblW w:w="0" w:type="auto"/>
        <w:tblLook w:val="04A0" w:firstRow="1" w:lastRow="0" w:firstColumn="1" w:lastColumn="0" w:noHBand="0" w:noVBand="1"/>
      </w:tblPr>
      <w:tblGrid>
        <w:gridCol w:w="2593"/>
        <w:gridCol w:w="2311"/>
      </w:tblGrid>
      <w:tr>
        <w:trPr/>
        <w:tc>
          <w:tcPr>
            <w:tcW w:w="4425" w:type="dxa"/>
            <w:tcBorders/>
            <w:shd w:val="clear" w:color="auto" w:fill="auto"/>
          </w:tcPr>
          <w:p>
            <w:pPr>
              <w:pStyle w:val="style0"/>
              <w:jc w:val="center"/>
              <w:rPr>
                <w:rFonts w:ascii="Arial" w:cs="Arial" w:hAnsi="Arial"/>
                <w:color w:val="000000"/>
                <w:sz w:val="18"/>
                <w:szCs w:val="18"/>
                <w:lang w:val="id-ID"/>
              </w:rPr>
            </w:pPr>
            <w:r>
              <w:rPr>
                <w:rFonts w:ascii="Arial" w:cs="Arial" w:hAnsi="Arial"/>
                <w:noProof/>
                <w:sz w:val="18"/>
                <w:szCs w:val="18"/>
              </w:rPr>
              <mc:AlternateContent>
                <mc:Choice Requires="wps">
                  <w:drawing>
                    <wp:anchor distT="0" distB="0" distL="0" distR="0" simplePos="false" relativeHeight="6" behindDoc="false" locked="false" layoutInCell="true" allowOverlap="true">
                      <wp:simplePos x="0" y="0"/>
                      <wp:positionH relativeFrom="column">
                        <wp:posOffset>1168260</wp:posOffset>
                      </wp:positionH>
                      <wp:positionV relativeFrom="paragraph">
                        <wp:posOffset>147947</wp:posOffset>
                      </wp:positionV>
                      <wp:extent cx="261273" cy="0"/>
                      <wp:effectExtent l="0" t="76200" r="24765" b="95250"/>
                      <wp:wrapNone/>
                      <wp:docPr id="1030" name="Straight Arrow Connector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61273" cy="0"/>
                              </a:xfrm>
                              <a:prstGeom prst="straightConnector1"/>
                              <a:ln cmpd="sng" cap="flat" w="9525">
                                <a:solidFill>
                                  <a:srgbClr val="000000"/>
                                </a:solidFill>
                                <a:prstDash val="solid"/>
                                <a:round/>
                                <a:headEnd len="med" w="med" type="none"/>
                                <a:tailEnd len="med" w="med" type="triangl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0" type="#_x0000_t32" filled="f" style="position:absolute;margin-left:91.99pt;margin-top:11.65pt;width:20.57pt;height:0.0pt;z-index:6;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rFonts w:ascii="Arial" w:cs="Arial" w:hAnsi="Arial"/>
                <w:noProof/>
                <w:sz w:val="18"/>
                <w:szCs w:val="18"/>
              </w:rPr>
              <mc:AlternateContent>
                <mc:Choice Requires="wps">
                  <w:drawing>
                    <wp:anchor distT="0" distB="0" distL="0" distR="0" simplePos="false" relativeHeight="5" behindDoc="false" locked="false" layoutInCell="true" allowOverlap="true">
                      <wp:simplePos x="0" y="0"/>
                      <wp:positionH relativeFrom="column">
                        <wp:posOffset>788035</wp:posOffset>
                      </wp:positionH>
                      <wp:positionV relativeFrom="paragraph">
                        <wp:posOffset>230513</wp:posOffset>
                      </wp:positionV>
                      <wp:extent cx="0" cy="154379"/>
                      <wp:effectExtent l="76200" t="0" r="57150" b="55245"/>
                      <wp:wrapNone/>
                      <wp:docPr id="1031" name="Straight Arrow Connector 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54379"/>
                              </a:xfrm>
                              <a:prstGeom prst="straightConnector1"/>
                              <a:ln cmpd="sng" cap="flat" w="9525">
                                <a:solidFill>
                                  <a:srgbClr val="000000"/>
                                </a:solidFill>
                                <a:prstDash val="solid"/>
                                <a:round/>
                                <a:headEnd len="med" w="med" type="none"/>
                                <a:tailEnd len="med" w="med" type="triangl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1" type="#_x0000_t32" filled="f" style="position:absolute;margin-left:62.05pt;margin-top:18.15pt;width:0.0pt;height:12.16pt;z-index:5;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rFonts w:ascii="Arial" w:cs="Arial" w:hAnsi="Arial"/>
                <w:color w:val="000000"/>
                <w:sz w:val="18"/>
                <w:szCs w:val="18"/>
                <w:lang w:val="id-ID"/>
              </w:rPr>
              <w:t>Sistem sebagai suatu metode</w:t>
            </w:r>
          </w:p>
          <w:p>
            <w:pPr>
              <w:pStyle w:val="style0"/>
              <w:jc w:val="center"/>
              <w:rPr>
                <w:rFonts w:ascii="Arial" w:cs="Arial" w:hAnsi="Arial"/>
                <w:color w:val="000000"/>
                <w:sz w:val="18"/>
                <w:szCs w:val="18"/>
                <w:lang w:val="id-ID"/>
              </w:rPr>
            </w:pPr>
          </w:p>
          <w:p>
            <w:pPr>
              <w:pStyle w:val="style0"/>
              <w:jc w:val="center"/>
              <w:rPr>
                <w:rFonts w:ascii="Arial" w:cs="Arial" w:hAnsi="Arial"/>
                <w:color w:val="000000"/>
                <w:sz w:val="18"/>
                <w:szCs w:val="18"/>
                <w:lang w:val="id-ID"/>
              </w:rPr>
            </w:pPr>
            <w:r>
              <w:rPr>
                <w:rFonts w:ascii="Arial" w:cs="Arial" w:hAnsi="Arial"/>
                <w:noProof/>
                <w:sz w:val="18"/>
                <w:szCs w:val="18"/>
              </w:rPr>
              <mc:AlternateContent>
                <mc:Choice Requires="wps">
                  <w:drawing>
                    <wp:anchor distT="0" distB="0" distL="0" distR="0" simplePos="false" relativeHeight="4" behindDoc="false" locked="false" layoutInCell="true" allowOverlap="true">
                      <wp:simplePos x="0" y="0"/>
                      <wp:positionH relativeFrom="column">
                        <wp:posOffset>792983</wp:posOffset>
                      </wp:positionH>
                      <wp:positionV relativeFrom="paragraph">
                        <wp:posOffset>97114</wp:posOffset>
                      </wp:positionV>
                      <wp:extent cx="0" cy="166370"/>
                      <wp:effectExtent l="76200" t="0" r="57150" b="62230"/>
                      <wp:wrapNone/>
                      <wp:docPr id="1032" name="Straight Arrow Connector 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166370"/>
                              </a:xfrm>
                              <a:prstGeom prst="straightConnector1"/>
                              <a:ln cmpd="sng" cap="flat" w="9525">
                                <a:solidFill>
                                  <a:srgbClr val="000000"/>
                                </a:solidFill>
                                <a:prstDash val="solid"/>
                                <a:round/>
                                <a:headEnd len="med" w="med" type="none"/>
                                <a:tailEnd len="med" w="med" type="triangl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2" type="#_x0000_t32" filled="f" style="position:absolute;margin-left:62.44pt;margin-top:7.65pt;width:0.0pt;height:13.1pt;z-index:4;mso-position-horizontal-relative:text;mso-position-vertical-relative:text;mso-width-percent:0;mso-height-percent:0;mso-width-relative:page;mso-height-relative:page;mso-wrap-distance-left:0.0pt;mso-wrap-distance-right:0.0pt;visibility:visible;">
                      <v:stroke endarrow="block"/>
                      <v:fill/>
                    </v:shape>
                  </w:pict>
                </mc:Fallback>
              </mc:AlternateContent>
            </w:r>
            <w:r>
              <w:rPr>
                <w:rFonts w:ascii="Arial" w:cs="Arial" w:hAnsi="Arial"/>
                <w:color w:val="000000"/>
                <w:sz w:val="18"/>
                <w:szCs w:val="18"/>
                <w:lang w:val="id-ID"/>
              </w:rPr>
              <w:t>Pendekatan Sistem</w:t>
            </w:r>
          </w:p>
          <w:p>
            <w:pPr>
              <w:pStyle w:val="style0"/>
              <w:jc w:val="center"/>
              <w:rPr>
                <w:rFonts w:ascii="Arial" w:cs="Arial" w:hAnsi="Arial"/>
                <w:color w:val="000000"/>
                <w:sz w:val="18"/>
                <w:szCs w:val="18"/>
              </w:rPr>
            </w:pPr>
          </w:p>
          <w:p>
            <w:pPr>
              <w:pStyle w:val="style0"/>
              <w:jc w:val="center"/>
              <w:rPr>
                <w:rFonts w:ascii="Arial" w:cs="Arial" w:hAnsi="Arial"/>
                <w:color w:val="000000"/>
                <w:sz w:val="18"/>
                <w:szCs w:val="18"/>
                <w:lang w:val="id-ID"/>
              </w:rPr>
            </w:pPr>
            <w:r>
              <w:rPr>
                <w:rFonts w:ascii="Arial" w:cs="Arial" w:hAnsi="Arial"/>
                <w:color w:val="000000"/>
                <w:sz w:val="18"/>
                <w:szCs w:val="18"/>
                <w:lang w:val="id-ID"/>
              </w:rPr>
              <w:t>Rasional dan logik</w:t>
            </w:r>
          </w:p>
          <w:p>
            <w:pPr>
              <w:pStyle w:val="style0"/>
              <w:jc w:val="center"/>
              <w:rPr>
                <w:rFonts w:ascii="Arial" w:cs="Arial" w:hAnsi="Arial"/>
                <w:color w:val="000000"/>
                <w:sz w:val="18"/>
                <w:szCs w:val="18"/>
                <w:lang w:val="id-ID"/>
              </w:rPr>
            </w:pPr>
            <w:r>
              <w:rPr>
                <w:rFonts w:ascii="Arial" w:cs="Arial" w:hAnsi="Arial"/>
                <w:color w:val="000000"/>
                <w:sz w:val="18"/>
                <w:szCs w:val="18"/>
                <w:lang w:val="id-ID"/>
              </w:rPr>
              <w:t>Untuk mencapai suatu tujuan</w:t>
            </w:r>
          </w:p>
          <w:p>
            <w:pPr>
              <w:pStyle w:val="style0"/>
              <w:jc w:val="both"/>
              <w:rPr>
                <w:rFonts w:ascii="Arial" w:cs="Arial" w:hAnsi="Arial"/>
                <w:color w:val="000000"/>
                <w:sz w:val="18"/>
                <w:szCs w:val="18"/>
                <w:lang w:val="id-ID"/>
              </w:rPr>
            </w:pPr>
          </w:p>
          <w:p>
            <w:pPr>
              <w:pStyle w:val="style0"/>
              <w:jc w:val="both"/>
              <w:rPr>
                <w:rFonts w:ascii="Arial" w:cs="Arial" w:hAnsi="Arial"/>
                <w:color w:val="000000"/>
                <w:sz w:val="18"/>
                <w:szCs w:val="18"/>
                <w:lang w:val="id-ID"/>
              </w:rPr>
            </w:pPr>
          </w:p>
        </w:tc>
        <w:tc>
          <w:tcPr>
            <w:tcW w:w="3729" w:type="dxa"/>
            <w:tcBorders/>
            <w:shd w:val="clear" w:color="auto" w:fill="auto"/>
          </w:tcPr>
          <w:p>
            <w:pPr>
              <w:pStyle w:val="style0"/>
              <w:ind w:right="-96"/>
              <w:rPr>
                <w:rFonts w:ascii="Arial" w:cs="Arial" w:hAnsi="Arial"/>
                <w:color w:val="000000"/>
                <w:sz w:val="18"/>
                <w:szCs w:val="18"/>
                <w:lang w:val="id-ID"/>
              </w:rPr>
            </w:pPr>
            <w:r>
              <w:rPr>
                <w:rFonts w:ascii="Arial" w:cs="Arial" w:hAnsi="Arial"/>
                <w:noProof/>
                <w:sz w:val="18"/>
                <w:szCs w:val="18"/>
              </w:rPr>
              <mc:AlternateContent>
                <mc:Choice Requires="wps">
                  <w:drawing>
                    <wp:anchor distT="0" distB="0" distL="0" distR="0" simplePos="false" relativeHeight="7" behindDoc="false" locked="false" layoutInCell="true" allowOverlap="true">
                      <wp:simplePos x="0" y="0"/>
                      <wp:positionH relativeFrom="column">
                        <wp:posOffset>832864</wp:posOffset>
                      </wp:positionH>
                      <wp:positionV relativeFrom="paragraph">
                        <wp:posOffset>435858</wp:posOffset>
                      </wp:positionV>
                      <wp:extent cx="11430" cy="154305"/>
                      <wp:effectExtent l="38100" t="0" r="64770" b="55245"/>
                      <wp:wrapNone/>
                      <wp:docPr id="1033" name="Straight Arrow Connector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1430" cy="154305"/>
                              </a:xfrm>
                              <a:prstGeom prst="straightConnector1"/>
                              <a:ln cmpd="sng" cap="flat" w="9525">
                                <a:solidFill>
                                  <a:srgbClr val="000000"/>
                                </a:solidFill>
                                <a:prstDash val="solid"/>
                                <a:round/>
                                <a:headEnd len="med" w="med" type="none"/>
                                <a:tailEnd len="med" w="med" type="triangl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33" type="#_x0000_t32" filled="f" style="position:absolute;margin-left:65.58pt;margin-top:34.32pt;width:0.9pt;height:12.15pt;z-index:7;mso-position-horizontal-relative:text;mso-position-vertical-relative:text;mso-width-percent:0;mso-height-percent:0;mso-width-relative:page;mso-height-relative:page;mso-wrap-distance-left:0.0pt;mso-wrap-distance-right:0.0pt;visibility:visible;flip:x;">
                      <v:stroke endarrow="block"/>
                      <v:fill/>
                    </v:shape>
                  </w:pict>
                </mc:Fallback>
              </mc:AlternateContent>
            </w:r>
            <w:r>
              <w:rPr>
                <w:rFonts w:ascii="Arial" w:cs="Arial" w:hAnsi="Arial"/>
                <w:color w:val="000000"/>
                <w:sz w:val="18"/>
                <w:szCs w:val="18"/>
                <w:lang w:val="id-ID"/>
              </w:rPr>
              <w:t>Penerapan metode ilmiah untuk memecahkan dalam usaha memecahkan masalah</w:t>
            </w:r>
          </w:p>
          <w:p>
            <w:pPr>
              <w:pStyle w:val="style0"/>
              <w:ind w:right="-96"/>
              <w:jc w:val="both"/>
              <w:rPr>
                <w:rFonts w:ascii="Arial" w:cs="Arial" w:hAnsi="Arial"/>
                <w:color w:val="000000"/>
                <w:sz w:val="18"/>
                <w:szCs w:val="18"/>
                <w:lang w:val="id-ID"/>
              </w:rPr>
            </w:pPr>
          </w:p>
          <w:p>
            <w:pPr>
              <w:pStyle w:val="style0"/>
              <w:ind w:right="-96"/>
              <w:jc w:val="center"/>
              <w:rPr>
                <w:rFonts w:ascii="Arial" w:cs="Arial" w:hAnsi="Arial"/>
                <w:noProof/>
                <w:color w:val="000000"/>
                <w:sz w:val="18"/>
                <w:szCs w:val="18"/>
                <w:lang w:val="id-ID" w:eastAsia="id-ID"/>
              </w:rPr>
            </w:pPr>
            <w:r>
              <w:rPr>
                <w:rFonts w:ascii="Arial" w:cs="Arial" w:hAnsi="Arial"/>
                <w:color w:val="000000"/>
                <w:sz w:val="18"/>
                <w:szCs w:val="18"/>
                <w:lang w:val="id-ID"/>
              </w:rPr>
              <w:t>Menerapkan kebiasaan berfikir atau beranggapan ada banyak sebab terjadinya sesuatu</w:t>
            </w:r>
          </w:p>
        </w:tc>
      </w:tr>
    </w:tbl>
    <w:p>
      <w:pPr>
        <w:pStyle w:val="style0"/>
        <w:jc w:val="both"/>
        <w:rPr>
          <w:rFonts w:ascii="Arial" w:cs="Arial" w:hAnsi="Arial"/>
          <w:color w:val="000000"/>
          <w:sz w:val="24"/>
          <w:szCs w:val="24"/>
          <w:lang w:val="id-ID"/>
        </w:rPr>
      </w:pPr>
    </w:p>
    <w:p>
      <w:pPr>
        <w:pStyle w:val="style0"/>
        <w:jc w:val="center"/>
        <w:rPr>
          <w:rFonts w:ascii="Arial" w:cs="Arial" w:hAnsi="Arial"/>
          <w:color w:val="000000"/>
          <w:sz w:val="24"/>
          <w:szCs w:val="24"/>
          <w:lang w:val="id-ID"/>
        </w:rPr>
      </w:pPr>
      <w:r>
        <w:rPr>
          <w:rFonts w:ascii="Arial" w:cs="Arial" w:hAnsi="Arial"/>
          <w:color w:val="000000"/>
          <w:sz w:val="24"/>
          <w:szCs w:val="24"/>
          <w:lang w:val="id-ID"/>
        </w:rPr>
        <w:t xml:space="preserve">Tabel </w:t>
      </w:r>
      <w:r>
        <w:rPr>
          <w:rFonts w:ascii="Arial" w:cs="Arial" w:hAnsi="Arial"/>
          <w:color w:val="000000"/>
          <w:sz w:val="24"/>
          <w:szCs w:val="24"/>
        </w:rPr>
        <w:t>3</w:t>
      </w:r>
      <w:r>
        <w:rPr>
          <w:rFonts w:ascii="Arial" w:cs="Arial" w:hAnsi="Arial"/>
          <w:color w:val="000000"/>
          <w:sz w:val="24"/>
          <w:szCs w:val="24"/>
          <w:lang w:val="id-ID"/>
        </w:rPr>
        <w:t>.  Perbedaan Deskriptif dengan Preskriptif</w:t>
      </w:r>
      <w:r>
        <w:rPr>
          <w:rFonts w:ascii="Arial" w:cs="Arial" w:hAnsi="Arial"/>
          <w:color w:val="000000"/>
          <w:sz w:val="24"/>
          <w:szCs w:val="24"/>
          <w:vertAlign w:val="superscript"/>
          <w:lang w:val="sv-SE"/>
        </w:rPr>
        <w:footnoteReference w:id="21"/>
      </w:r>
    </w:p>
    <w:tbl>
      <w:tblPr>
        <w:tblW w:w="5138" w:type="dxa"/>
        <w:tblLayout w:type="fixed"/>
        <w:tblLook w:val="04A0" w:firstRow="1" w:lastRow="0" w:firstColumn="1" w:lastColumn="0" w:noHBand="0" w:noVBand="1"/>
      </w:tblPr>
      <w:tblGrid>
        <w:gridCol w:w="1418"/>
        <w:gridCol w:w="993"/>
        <w:gridCol w:w="2727"/>
      </w:tblGrid>
      <w:tr>
        <w:trPr/>
        <w:tc>
          <w:tcPr>
            <w:tcW w:w="1418" w:type="dxa"/>
            <w:tcBorders>
              <w:top w:val="single" w:sz="4" w:space="0" w:color="auto"/>
              <w:bottom w:val="single" w:sz="4" w:space="0" w:color="auto"/>
            </w:tcBorders>
            <w:shd w:val="clear" w:color="auto" w:fill="auto"/>
          </w:tcPr>
          <w:p>
            <w:pPr>
              <w:pStyle w:val="style0"/>
              <w:tabs>
                <w:tab w:val="left" w:leader="none" w:pos="284"/>
              </w:tabs>
              <w:jc w:val="center"/>
              <w:rPr>
                <w:rFonts w:ascii="Arial" w:cs="Arial" w:hAnsi="Arial"/>
                <w:color w:val="000000"/>
                <w:sz w:val="18"/>
                <w:szCs w:val="18"/>
                <w:lang w:val="id-ID"/>
              </w:rPr>
            </w:pPr>
            <w:r>
              <w:rPr>
                <w:rFonts w:ascii="Arial" w:cs="Arial" w:hAnsi="Arial"/>
                <w:color w:val="000000"/>
                <w:sz w:val="18"/>
                <w:szCs w:val="18"/>
                <w:lang w:val="id-ID"/>
              </w:rPr>
              <w:t>Deskriptif</w:t>
            </w:r>
          </w:p>
        </w:tc>
        <w:tc>
          <w:tcPr>
            <w:tcW w:w="993" w:type="dxa"/>
            <w:tcBorders>
              <w:top w:val="single" w:sz="4" w:space="0" w:color="auto"/>
              <w:bottom w:val="single" w:sz="4" w:space="0" w:color="auto"/>
            </w:tcBorders>
            <w:shd w:val="clear" w:color="auto" w:fill="auto"/>
          </w:tcPr>
          <w:p>
            <w:pPr>
              <w:pStyle w:val="style0"/>
              <w:jc w:val="center"/>
              <w:rPr>
                <w:rFonts w:ascii="Arial" w:cs="Arial" w:hAnsi="Arial"/>
                <w:color w:val="000000"/>
                <w:sz w:val="18"/>
                <w:szCs w:val="18"/>
                <w:lang w:val="id-ID"/>
              </w:rPr>
            </w:pPr>
          </w:p>
        </w:tc>
        <w:tc>
          <w:tcPr>
            <w:tcW w:w="2727" w:type="dxa"/>
            <w:tcBorders>
              <w:top w:val="single" w:sz="4" w:space="0" w:color="auto"/>
              <w:bottom w:val="single" w:sz="4" w:space="0" w:color="auto"/>
            </w:tcBorders>
            <w:shd w:val="clear" w:color="auto" w:fill="auto"/>
          </w:tcPr>
          <w:p>
            <w:pPr>
              <w:pStyle w:val="style0"/>
              <w:jc w:val="center"/>
              <w:rPr>
                <w:rFonts w:ascii="Arial" w:cs="Arial" w:hAnsi="Arial"/>
                <w:color w:val="000000"/>
                <w:sz w:val="18"/>
                <w:szCs w:val="18"/>
                <w:lang w:val="id-ID"/>
              </w:rPr>
            </w:pPr>
            <w:r>
              <w:rPr>
                <w:rFonts w:ascii="Arial" w:cs="Arial" w:hAnsi="Arial"/>
                <w:color w:val="000000"/>
                <w:sz w:val="18"/>
                <w:szCs w:val="18"/>
                <w:lang w:val="id-ID"/>
              </w:rPr>
              <w:t>Preskriptif</w:t>
            </w:r>
          </w:p>
        </w:tc>
      </w:tr>
      <w:tr>
        <w:tblPrEx/>
        <w:trPr/>
        <w:tc>
          <w:tcPr>
            <w:tcW w:w="1418" w:type="dxa"/>
            <w:tcBorders>
              <w:top w:val="single" w:sz="4" w:space="0" w:color="auto"/>
            </w:tcBorders>
            <w:shd w:val="clear" w:color="auto" w:fill="auto"/>
          </w:tcPr>
          <w:p>
            <w:pPr>
              <w:pStyle w:val="style0"/>
              <w:numPr>
                <w:ilvl w:val="0"/>
                <w:numId w:val="19"/>
              </w:numPr>
              <w:tabs>
                <w:tab w:val="left" w:leader="none" w:pos="142"/>
              </w:tabs>
              <w:spacing w:after="200"/>
              <w:ind w:left="142" w:right="-116" w:hanging="284"/>
              <w:jc w:val="both"/>
              <w:rPr>
                <w:rFonts w:ascii="Arial" w:cs="Arial" w:hAnsi="Arial"/>
                <w:color w:val="000000"/>
                <w:sz w:val="18"/>
                <w:szCs w:val="18"/>
                <w:lang w:val="id-ID"/>
              </w:rPr>
            </w:pPr>
            <w:r>
              <w:rPr>
                <w:rFonts w:ascii="Arial" w:cs="Arial" w:hAnsi="Arial"/>
                <w:color w:val="000000"/>
                <w:sz w:val="18"/>
                <w:szCs w:val="18"/>
                <w:lang w:val="id-ID"/>
              </w:rPr>
              <w:t>Ini sebuah mobil</w:t>
            </w:r>
          </w:p>
        </w:tc>
        <w:tc>
          <w:tcPr>
            <w:tcW w:w="993" w:type="dxa"/>
            <w:tcBorders>
              <w:top w:val="single" w:sz="4" w:space="0" w:color="auto"/>
            </w:tcBorders>
            <w:shd w:val="clear" w:color="auto" w:fill="auto"/>
          </w:tcPr>
          <w:p>
            <w:pPr>
              <w:pStyle w:val="style0"/>
              <w:jc w:val="center"/>
              <w:rPr>
                <w:rFonts w:ascii="Arial" w:cs="Arial" w:hAnsi="Arial"/>
                <w:color w:val="000000"/>
                <w:sz w:val="18"/>
                <w:szCs w:val="18"/>
                <w:lang w:val="id-ID"/>
              </w:rPr>
            </w:pPr>
            <w:r>
              <w:rPr>
                <w:rFonts w:ascii="Arial" w:cs="Arial" w:hAnsi="Arial"/>
                <w:color w:val="000000"/>
                <w:sz w:val="18"/>
                <w:szCs w:val="18"/>
                <w:lang w:val="id-ID"/>
              </w:rPr>
              <w:t>Versus</w:t>
            </w:r>
          </w:p>
        </w:tc>
        <w:tc>
          <w:tcPr>
            <w:tcW w:w="2727" w:type="dxa"/>
            <w:tcBorders>
              <w:top w:val="single" w:sz="4" w:space="0" w:color="auto"/>
            </w:tcBorders>
            <w:shd w:val="clear" w:color="auto" w:fill="auto"/>
          </w:tcPr>
          <w:p>
            <w:pPr>
              <w:pStyle w:val="style0"/>
              <w:rPr>
                <w:rFonts w:ascii="Arial" w:cs="Arial" w:hAnsi="Arial"/>
                <w:color w:val="000000"/>
                <w:sz w:val="18"/>
                <w:szCs w:val="18"/>
                <w:lang w:val="id-ID"/>
              </w:rPr>
            </w:pPr>
            <w:r>
              <w:rPr>
                <w:rFonts w:ascii="Arial" w:cs="Arial" w:hAnsi="Arial"/>
                <w:color w:val="000000"/>
                <w:sz w:val="18"/>
                <w:szCs w:val="18"/>
                <w:lang w:val="id-ID"/>
              </w:rPr>
              <w:t>Ini mobil dapat memberikan layanan transfortasi yang ekonomis</w:t>
            </w:r>
          </w:p>
        </w:tc>
      </w:tr>
      <w:tr>
        <w:tblPrEx/>
        <w:trPr/>
        <w:tc>
          <w:tcPr>
            <w:tcW w:w="1418" w:type="dxa"/>
            <w:tcBorders/>
            <w:shd w:val="clear" w:color="auto" w:fill="auto"/>
          </w:tcPr>
          <w:p>
            <w:pPr>
              <w:pStyle w:val="style0"/>
              <w:numPr>
                <w:ilvl w:val="0"/>
                <w:numId w:val="19"/>
              </w:numPr>
              <w:tabs>
                <w:tab w:val="left" w:leader="none" w:pos="142"/>
              </w:tabs>
              <w:spacing w:after="200"/>
              <w:ind w:left="142" w:hanging="284"/>
              <w:jc w:val="both"/>
              <w:rPr>
                <w:rFonts w:ascii="Arial" w:cs="Arial" w:hAnsi="Arial"/>
                <w:color w:val="000000"/>
                <w:sz w:val="18"/>
                <w:szCs w:val="18"/>
                <w:lang w:val="id-ID"/>
              </w:rPr>
            </w:pPr>
            <w:r>
              <w:rPr>
                <w:rFonts w:ascii="Arial" w:cs="Arial" w:hAnsi="Arial"/>
                <w:color w:val="000000"/>
                <w:sz w:val="18"/>
                <w:szCs w:val="18"/>
                <w:lang w:val="id-ID"/>
              </w:rPr>
              <w:t>Ini program investasi</w:t>
            </w:r>
          </w:p>
        </w:tc>
        <w:tc>
          <w:tcPr>
            <w:tcW w:w="993" w:type="dxa"/>
            <w:tcBorders/>
            <w:shd w:val="clear" w:color="auto" w:fill="auto"/>
          </w:tcPr>
          <w:p>
            <w:pPr>
              <w:pStyle w:val="style0"/>
              <w:spacing w:after="200"/>
              <w:jc w:val="center"/>
              <w:rPr>
                <w:rFonts w:ascii="Arial" w:cs="Arial" w:hAnsi="Arial"/>
                <w:sz w:val="18"/>
                <w:szCs w:val="18"/>
              </w:rPr>
            </w:pPr>
            <w:r>
              <w:rPr>
                <w:rFonts w:ascii="Arial" w:cs="Arial" w:hAnsi="Arial"/>
                <w:color w:val="000000"/>
                <w:sz w:val="18"/>
                <w:szCs w:val="18"/>
                <w:lang w:val="id-ID"/>
              </w:rPr>
              <w:t>Versus</w:t>
            </w:r>
          </w:p>
        </w:tc>
        <w:tc>
          <w:tcPr>
            <w:tcW w:w="2727" w:type="dxa"/>
            <w:tcBorders/>
            <w:shd w:val="clear" w:color="auto" w:fill="auto"/>
          </w:tcPr>
          <w:p>
            <w:pPr>
              <w:pStyle w:val="style0"/>
              <w:rPr>
                <w:rFonts w:ascii="Arial" w:cs="Arial" w:hAnsi="Arial"/>
                <w:color w:val="000000"/>
                <w:sz w:val="18"/>
                <w:szCs w:val="18"/>
                <w:lang w:val="id-ID"/>
              </w:rPr>
            </w:pPr>
            <w:r>
              <w:rPr>
                <w:rFonts w:ascii="Arial" w:cs="Arial" w:hAnsi="Arial"/>
                <w:color w:val="000000"/>
                <w:sz w:val="18"/>
                <w:szCs w:val="18"/>
                <w:lang w:val="id-ID"/>
              </w:rPr>
              <w:t>Ini program investasi yang akan meningkatkan dividen</w:t>
            </w:r>
          </w:p>
        </w:tc>
      </w:tr>
      <w:tr>
        <w:tblPrEx/>
        <w:trPr/>
        <w:tc>
          <w:tcPr>
            <w:tcW w:w="1418" w:type="dxa"/>
            <w:tcBorders>
              <w:bottom w:val="single" w:sz="4" w:space="0" w:color="auto"/>
            </w:tcBorders>
            <w:shd w:val="clear" w:color="auto" w:fill="auto"/>
          </w:tcPr>
          <w:p>
            <w:pPr>
              <w:pStyle w:val="style0"/>
              <w:numPr>
                <w:ilvl w:val="0"/>
                <w:numId w:val="19"/>
              </w:numPr>
              <w:tabs>
                <w:tab w:val="left" w:leader="none" w:pos="142"/>
              </w:tabs>
              <w:spacing w:after="200"/>
              <w:ind w:left="142" w:right="-116" w:hanging="284"/>
              <w:jc w:val="both"/>
              <w:rPr>
                <w:rFonts w:ascii="Arial" w:cs="Arial" w:hAnsi="Arial"/>
                <w:color w:val="000000"/>
                <w:sz w:val="18"/>
                <w:szCs w:val="18"/>
                <w:lang w:val="id-ID"/>
              </w:rPr>
            </w:pPr>
            <w:r>
              <w:rPr>
                <w:rFonts w:ascii="Arial" w:cs="Arial" w:hAnsi="Arial"/>
                <w:color w:val="000000"/>
                <w:sz w:val="18"/>
                <w:szCs w:val="18"/>
                <w:lang w:val="id-ID"/>
              </w:rPr>
              <w:t xml:space="preserve">Ini perlengkapan keamanan </w:t>
            </w:r>
          </w:p>
        </w:tc>
        <w:tc>
          <w:tcPr>
            <w:tcW w:w="993" w:type="dxa"/>
            <w:tcBorders>
              <w:bottom w:val="single" w:sz="4" w:space="0" w:color="auto"/>
            </w:tcBorders>
            <w:shd w:val="clear" w:color="auto" w:fill="auto"/>
          </w:tcPr>
          <w:p>
            <w:pPr>
              <w:pStyle w:val="style0"/>
              <w:spacing w:after="200"/>
              <w:jc w:val="center"/>
              <w:rPr>
                <w:rFonts w:ascii="Arial" w:cs="Arial" w:hAnsi="Arial"/>
                <w:sz w:val="18"/>
                <w:szCs w:val="18"/>
              </w:rPr>
            </w:pPr>
            <w:r>
              <w:rPr>
                <w:rFonts w:ascii="Arial" w:cs="Arial" w:hAnsi="Arial"/>
                <w:color w:val="000000"/>
                <w:sz w:val="18"/>
                <w:szCs w:val="18"/>
                <w:lang w:val="id-ID"/>
              </w:rPr>
              <w:t>Versus</w:t>
            </w:r>
          </w:p>
        </w:tc>
        <w:tc>
          <w:tcPr>
            <w:tcW w:w="2727" w:type="dxa"/>
            <w:tcBorders>
              <w:bottom w:val="single" w:sz="4" w:space="0" w:color="auto"/>
            </w:tcBorders>
            <w:shd w:val="clear" w:color="auto" w:fill="auto"/>
          </w:tcPr>
          <w:p>
            <w:pPr>
              <w:pStyle w:val="style0"/>
              <w:rPr>
                <w:rFonts w:ascii="Arial" w:cs="Arial" w:hAnsi="Arial"/>
                <w:color w:val="000000"/>
                <w:sz w:val="18"/>
                <w:szCs w:val="18"/>
                <w:lang w:val="id-ID"/>
              </w:rPr>
            </w:pPr>
            <w:r>
              <w:rPr>
                <w:rFonts w:ascii="Arial" w:cs="Arial" w:hAnsi="Arial"/>
                <w:color w:val="000000"/>
                <w:sz w:val="18"/>
                <w:szCs w:val="18"/>
                <w:lang w:val="id-ID"/>
              </w:rPr>
              <w:t>Ini perlengkapan keamanan yang akan mencegah kecelakaan</w:t>
            </w:r>
          </w:p>
        </w:tc>
      </w:tr>
    </w:tbl>
    <w:p>
      <w:pPr>
        <w:pStyle w:val="style0"/>
        <w:ind w:firstLine="720"/>
        <w:jc w:val="both"/>
        <w:rPr>
          <w:rFonts w:ascii="Arial" w:cs="Arial" w:hAnsi="Arial"/>
          <w:color w:val="000000"/>
          <w:sz w:val="24"/>
          <w:szCs w:val="24"/>
          <w:lang w:val="id-ID"/>
        </w:rPr>
      </w:pPr>
    </w:p>
    <w:p>
      <w:pPr>
        <w:pStyle w:val="style0"/>
        <w:ind w:firstLine="720"/>
        <w:jc w:val="both"/>
        <w:rPr>
          <w:rFonts w:ascii="Arial" w:cs="Arial" w:hAnsi="Arial"/>
          <w:color w:val="000000"/>
          <w:sz w:val="24"/>
          <w:szCs w:val="24"/>
        </w:rPr>
      </w:pPr>
      <w:r>
        <w:rPr>
          <w:rFonts w:ascii="Arial" w:cs="Arial" w:hAnsi="Arial"/>
          <w:color w:val="000000"/>
          <w:sz w:val="24"/>
          <w:szCs w:val="24"/>
          <w:lang w:val="id-ID"/>
        </w:rPr>
        <w:t xml:space="preserve">Apabila melihat penjelasan tersebut, maka dalam susunan organisasi Mahkamah Agung, terdapat </w:t>
      </w:r>
      <w:r>
        <w:rPr>
          <w:rFonts w:ascii="Arial" w:cs="Arial" w:hAnsi="Arial"/>
          <w:color w:val="000000"/>
          <w:sz w:val="24"/>
          <w:szCs w:val="24"/>
        </w:rPr>
        <w:t>kewenangan, tugas dan fungsi yang belum dikuatkan dan dikembangkan sesuai dengan kebutuhan dan kepentingan visi dan misi organisasi, sehingga berputarnya organisasi menjadi timpang dan tidak maksimal dalam mengemban fungsinya masing-masing.  Kualifikasi dan kualitas harus menjadi pertimbangan penting dalam menjalankan profesionalisme jabatannya dan diupayakan menciptakan lapangan baru yang saling menguatkan satu dengan yang lainnya, menyesuaikan kebutuhan dan pengembangan organisasi dinamis yang mampu beradaptasi dengan perkembangan limngkungan.</w:t>
      </w:r>
    </w:p>
    <w:p>
      <w:pPr>
        <w:pStyle w:val="style0"/>
        <w:ind w:firstLine="720"/>
        <w:jc w:val="both"/>
        <w:rPr>
          <w:rFonts w:ascii="Arial" w:cs="Arial" w:hAnsi="Arial"/>
          <w:color w:val="000000"/>
          <w:sz w:val="24"/>
          <w:szCs w:val="24"/>
        </w:rPr>
      </w:pPr>
      <w:r>
        <w:rPr>
          <w:rFonts w:ascii="Arial" w:cs="Arial" w:hAnsi="Arial"/>
          <w:color w:val="000000"/>
          <w:sz w:val="24"/>
          <w:szCs w:val="24"/>
        </w:rPr>
        <w:t>Teori sistem dalam organisasi terdiri atas;  Kedinamisan, Multi level</w:t>
      </w:r>
      <w:r>
        <w:rPr>
          <w:rFonts w:ascii="Arial" w:cs="Arial" w:hAnsi="Arial"/>
          <w:color w:val="000000"/>
          <w:sz w:val="24"/>
          <w:szCs w:val="24"/>
          <w:lang w:val="id-ID"/>
        </w:rPr>
        <w:t>/</w:t>
      </w:r>
      <w:r>
        <w:rPr>
          <w:rFonts w:ascii="Arial" w:cs="Arial" w:hAnsi="Arial"/>
          <w:color w:val="000000"/>
          <w:sz w:val="24"/>
          <w:szCs w:val="24"/>
        </w:rPr>
        <w:t xml:space="preserve"> multi dimensional, multi motivasi, multi disipliner dan multi variable</w:t>
      </w:r>
      <w:r>
        <w:rPr>
          <w:rFonts w:ascii="Arial" w:cs="Arial" w:hAnsi="Arial"/>
          <w:color w:val="000000"/>
          <w:sz w:val="24"/>
          <w:szCs w:val="24"/>
          <w:vertAlign w:val="superscript"/>
          <w:lang w:val="sv-SE"/>
        </w:rPr>
        <w:footnoteReference w:id="22"/>
      </w:r>
      <w:r>
        <w:rPr>
          <w:rFonts w:ascii="Arial" w:cs="Arial" w:hAnsi="Arial"/>
          <w:color w:val="000000"/>
          <w:sz w:val="24"/>
          <w:szCs w:val="24"/>
        </w:rPr>
        <w:t xml:space="preserve">.  Selanjutnya </w:t>
      </w:r>
      <w:r>
        <w:rPr>
          <w:rFonts w:ascii="Arial" w:cs="Arial" w:hAnsi="Arial"/>
          <w:color w:val="000000"/>
          <w:sz w:val="24"/>
          <w:szCs w:val="24"/>
          <w:lang w:val="id-ID"/>
        </w:rPr>
        <w:t>meng</w:t>
      </w:r>
      <w:r>
        <w:rPr>
          <w:rFonts w:ascii="Arial" w:cs="Arial" w:hAnsi="Arial"/>
          <w:color w:val="000000"/>
          <w:sz w:val="24"/>
          <w:szCs w:val="24"/>
        </w:rPr>
        <w:t>utip pendapat Miftah Thoha, bahwa pendekatan sistem terutama menekankan saling ketergantungan dan keterkaitan bagian-bagian organisasi sebagai keseluruhan.  Pendekatan ini memberikan kepada manajemen cara memandang organisasi sebagai keseluruhan dan sebagai bagian lingkungan eksternal yang lebih luas.  Organisasi dipandang sebagai system terbuka dan pada hakekatnya merupakan proses transformasi berbagai masukan yang menghasilkan keluaran.</w:t>
      </w:r>
    </w:p>
    <w:p>
      <w:pPr>
        <w:pStyle w:val="style0"/>
        <w:ind w:firstLine="720"/>
        <w:jc w:val="both"/>
        <w:rPr>
          <w:rFonts w:ascii="Arial" w:cs="Arial" w:hAnsi="Arial"/>
          <w:color w:val="000000"/>
          <w:sz w:val="24"/>
          <w:szCs w:val="24"/>
        </w:rPr>
      </w:pPr>
    </w:p>
    <w:p>
      <w:pPr>
        <w:pStyle w:val="style0"/>
        <w:spacing w:after="200"/>
        <w:jc w:val="both"/>
        <w:rPr>
          <w:rFonts w:ascii="Arial" w:cs="Arial" w:hAnsi="Arial"/>
          <w:b/>
          <w:color w:val="000000"/>
          <w:sz w:val="24"/>
          <w:szCs w:val="24"/>
        </w:rPr>
      </w:pPr>
      <w:r>
        <w:rPr>
          <w:rFonts w:ascii="Arial" w:cs="Arial" w:hAnsi="Arial"/>
          <w:b/>
          <w:color w:val="000000"/>
          <w:sz w:val="24"/>
          <w:szCs w:val="24"/>
        </w:rPr>
        <w:t>Evalu</w:t>
      </w:r>
      <w:r>
        <w:rPr>
          <w:rFonts w:ascii="Arial" w:cs="Arial" w:hAnsi="Arial"/>
          <w:b/>
          <w:color w:val="000000"/>
          <w:sz w:val="24"/>
          <w:szCs w:val="24"/>
        </w:rPr>
        <w:t>a</w:t>
      </w:r>
      <w:r>
        <w:rPr>
          <w:rFonts w:ascii="Arial" w:cs="Arial" w:hAnsi="Arial"/>
          <w:b/>
          <w:color w:val="000000"/>
          <w:sz w:val="24"/>
          <w:szCs w:val="24"/>
        </w:rPr>
        <w:t>si Tugas dan Fungsi dalam Organisasi</w:t>
      </w:r>
    </w:p>
    <w:p>
      <w:pPr>
        <w:pStyle w:val="style0"/>
        <w:ind w:firstLine="720"/>
        <w:jc w:val="both"/>
        <w:rPr>
          <w:rFonts w:ascii="Arial" w:cs="Arial" w:hAnsi="Arial"/>
          <w:color w:val="000000"/>
          <w:sz w:val="24"/>
          <w:szCs w:val="24"/>
        </w:rPr>
      </w:pPr>
      <w:r>
        <w:rPr>
          <w:rFonts w:ascii="Arial" w:cs="Arial" w:hAnsi="Arial"/>
          <w:color w:val="000000"/>
          <w:sz w:val="24"/>
          <w:szCs w:val="24"/>
          <w:lang w:val="id-ID"/>
        </w:rPr>
        <w:t xml:space="preserve">Suatu evaluasi tugas dan fungsi organisasi dalam  implementasi pelaksanaannya harus memiliki nilai dan penilaian, </w:t>
      </w:r>
      <w:r>
        <w:rPr>
          <w:rFonts w:ascii="Arial" w:cs="Arial" w:hAnsi="Arial"/>
          <w:color w:val="000000"/>
          <w:sz w:val="24"/>
          <w:szCs w:val="24"/>
        </w:rPr>
        <w:t>ad</w:t>
      </w:r>
      <w:r>
        <w:rPr>
          <w:rFonts w:ascii="Arial" w:cs="Arial" w:hAnsi="Arial"/>
          <w:color w:val="000000"/>
          <w:sz w:val="24"/>
          <w:szCs w:val="24"/>
          <w:lang w:val="id-ID"/>
        </w:rPr>
        <w:t xml:space="preserve">a tujuan atau sasaran yang jelas, bersifat menyeluruh dan terus-menerus, berfungsi diagnostik dan terintegrasi.  Evaluasi tugas dan fungsi juga bervariasi bergantung pada dimensi-dimensi yang menjadi fokus evaluasi. Salahsatu dimensi yang sering mendapat sorotan adalah dimensi kuantitas dan kualitas.  </w:t>
      </w:r>
      <w:r>
        <w:rPr>
          <w:rFonts w:ascii="Arial" w:cs="Arial" w:hAnsi="Arial"/>
          <w:color w:val="000000"/>
          <w:sz w:val="24"/>
          <w:szCs w:val="24"/>
        </w:rPr>
        <w:t>Pendapat Doll yang dikutip Nana Syaodih Sukmadinata, bahwa:</w:t>
      </w:r>
    </w:p>
    <w:p>
      <w:pPr>
        <w:pStyle w:val="style0"/>
        <w:ind w:left="426"/>
        <w:jc w:val="both"/>
        <w:rPr>
          <w:rFonts w:ascii="Arial" w:cs="Arial" w:hAnsi="Arial"/>
          <w:color w:val="000000"/>
          <w:sz w:val="24"/>
          <w:szCs w:val="24"/>
        </w:rPr>
      </w:pPr>
      <w:r>
        <w:rPr>
          <w:rFonts w:ascii="Arial" w:cs="Arial" w:hAnsi="Arial"/>
          <w:color w:val="000000"/>
          <w:sz w:val="24"/>
          <w:szCs w:val="24"/>
          <w:lang w:val="id-ID"/>
        </w:rPr>
        <w:t>One dimension is that of quantity, much of the program is to be evaluated? The other dimension is that of quality-what goals are being high-lighted in this evaluation and how does achievement of the goals as sure quality (Doll,1976:364)</w:t>
      </w:r>
      <w:r>
        <w:rPr>
          <w:rFonts w:ascii="Arial" w:cs="Arial" w:hAnsi="Arial"/>
          <w:color w:val="000000"/>
          <w:sz w:val="24"/>
          <w:szCs w:val="24"/>
        </w:rPr>
        <w:t>.</w:t>
      </w:r>
      <w:r>
        <w:rPr>
          <w:rFonts w:ascii="Arial" w:cs="Arial" w:hAnsi="Arial"/>
          <w:color w:val="000000"/>
          <w:sz w:val="24"/>
          <w:szCs w:val="24"/>
          <w:vertAlign w:val="superscript"/>
          <w:lang w:val="sv-SE"/>
        </w:rPr>
        <w:footnoteReference w:id="23"/>
      </w:r>
    </w:p>
    <w:p>
      <w:pPr>
        <w:pStyle w:val="style0"/>
        <w:ind w:firstLine="720"/>
        <w:jc w:val="both"/>
        <w:rPr>
          <w:rFonts w:ascii="Arial" w:cs="Arial" w:hAnsi="Arial"/>
          <w:color w:val="000000"/>
          <w:sz w:val="24"/>
          <w:szCs w:val="24"/>
        </w:rPr>
      </w:pPr>
      <w:r>
        <w:rPr>
          <w:rFonts w:ascii="Arial" w:cs="Arial" w:hAnsi="Arial"/>
          <w:color w:val="000000"/>
          <w:sz w:val="24"/>
          <w:szCs w:val="24"/>
        </w:rPr>
        <w:t>Mengevaluasi kuantitas dan kualitas suatu pelaksanaan program, diantaranya yang berhubungan dengan suatu fungsi dalam suatu penyelenggaraan pelayanan akan selalu beriringan karena satu dengan lainnya saling melengkapi dan mengisi.  Untuk mecari dan melihat hal tersebut senantiasa menggunakan instrument untuk memperolehnya, seperti yang dikemukan berikut ini;</w:t>
      </w:r>
    </w:p>
    <w:p>
      <w:pPr>
        <w:pStyle w:val="style0"/>
        <w:ind w:left="426"/>
        <w:jc w:val="both"/>
        <w:rPr>
          <w:rFonts w:ascii="Arial" w:cs="Arial" w:hAnsi="Arial"/>
          <w:color w:val="000000"/>
          <w:sz w:val="24"/>
          <w:szCs w:val="24"/>
        </w:rPr>
      </w:pPr>
      <w:r>
        <w:rPr>
          <w:rFonts w:ascii="Arial" w:cs="Arial" w:hAnsi="Arial"/>
          <w:color w:val="000000"/>
          <w:sz w:val="24"/>
          <w:szCs w:val="24"/>
          <w:lang w:val="id-ID"/>
        </w:rPr>
        <w:t xml:space="preserve">Instrumen yang sering digunakan untuk mengevaluasi dimensi kualitatif umpamanya: </w:t>
      </w:r>
      <w:r>
        <w:rPr>
          <w:rFonts w:ascii="Arial" w:cs="Arial" w:hAnsi="Arial"/>
          <w:i/>
          <w:color w:val="000000"/>
          <w:sz w:val="24"/>
          <w:szCs w:val="24"/>
          <w:lang w:val="id-ID"/>
        </w:rPr>
        <w:t>questionnaire, interest inventories, temperament and adjustment inventories, nominating techniques, interviews, and annecdotal records</w:t>
      </w:r>
      <w:r>
        <w:rPr>
          <w:rFonts w:ascii="Arial" w:cs="Arial" w:hAnsi="Arial"/>
          <w:color w:val="000000"/>
          <w:sz w:val="24"/>
          <w:szCs w:val="24"/>
          <w:lang w:val="id-ID"/>
        </w:rPr>
        <w:t>. (Writht, 1996:306)</w:t>
      </w:r>
      <w:r>
        <w:rPr>
          <w:rFonts w:ascii="Arial" w:cs="Arial" w:hAnsi="Arial"/>
          <w:color w:val="000000"/>
          <w:sz w:val="24"/>
          <w:szCs w:val="24"/>
        </w:rPr>
        <w:t>.</w:t>
      </w:r>
      <w:r>
        <w:rPr>
          <w:rFonts w:ascii="Arial" w:cs="Arial" w:hAnsi="Arial"/>
          <w:color w:val="000000"/>
          <w:sz w:val="24"/>
          <w:szCs w:val="24"/>
          <w:vertAlign w:val="superscript"/>
          <w:lang w:val="sv-SE"/>
        </w:rPr>
        <w:footnoteReference w:id="24"/>
      </w:r>
    </w:p>
    <w:p>
      <w:pPr>
        <w:pStyle w:val="style0"/>
        <w:ind w:firstLine="720"/>
        <w:jc w:val="both"/>
        <w:rPr>
          <w:rFonts w:ascii="Arial" w:cs="Arial" w:hAnsi="Arial"/>
          <w:color w:val="000000"/>
          <w:sz w:val="24"/>
          <w:szCs w:val="24"/>
          <w:lang w:val="id-ID"/>
        </w:rPr>
      </w:pPr>
      <w:r>
        <w:rPr>
          <w:rFonts w:ascii="Arial" w:cs="Arial" w:hAnsi="Arial"/>
          <w:color w:val="000000"/>
          <w:sz w:val="24"/>
          <w:szCs w:val="24"/>
          <w:lang w:val="id-ID"/>
        </w:rPr>
        <w:t>Dengan demikian, pelaksanaan evaluasi administrasi penyelesaian perkara kasasi disamping harus memperhatikan fokus yang dianggap penting untuk segera diperbaiki dan ditingkatkan juga harus memperhatikan segi kuantitas dan kualitasnya dengan menggunakan beberapa teknik untuk pelaksanaannya.  Hal ini akan selalu berhubungan dengan target pencapaian yang sudah dan akan dilaksanakan.</w:t>
      </w:r>
      <w:r>
        <w:rPr>
          <w:rFonts w:ascii="Arial" w:cs="Arial" w:hAnsi="Arial"/>
          <w:color w:val="000000"/>
          <w:sz w:val="24"/>
          <w:szCs w:val="24"/>
        </w:rPr>
        <w:t xml:space="preserve">  </w:t>
      </w:r>
      <w:r>
        <w:rPr>
          <w:rFonts w:ascii="Arial" w:cs="Arial" w:hAnsi="Arial"/>
          <w:color w:val="000000"/>
          <w:sz w:val="24"/>
          <w:szCs w:val="24"/>
          <w:lang w:val="fi-FI"/>
        </w:rPr>
        <w:t xml:space="preserve">Dengan dilaksanakannya evaluasi, maka hambatan-hambatan pencapaian tujuan </w:t>
      </w:r>
      <w:r>
        <w:rPr>
          <w:rFonts w:ascii="Arial" w:cs="Arial" w:hAnsi="Arial"/>
          <w:color w:val="000000"/>
          <w:sz w:val="24"/>
          <w:szCs w:val="24"/>
          <w:lang w:val="id-ID"/>
        </w:rPr>
        <w:t>sesuai dengan prinsip-prinsip penyelenggaraan penyelesaian perkara</w:t>
      </w:r>
      <w:r>
        <w:rPr>
          <w:rFonts w:ascii="Arial" w:cs="Arial" w:hAnsi="Arial"/>
          <w:color w:val="000000"/>
          <w:sz w:val="24"/>
          <w:szCs w:val="24"/>
          <w:lang w:val="fi-FI"/>
        </w:rPr>
        <w:t xml:space="preserve"> dapat diprediksi, jika adanya hambatan yang berat dapat dikurangi dampaknya.  Pelaksanaan evaluasi yang dalam hal ini dapat dikatakan sebagai suatu studi, sangat bermanfaat untuk menciptakan atau merubah kearah yang lebih baik tentang formulasi kebijakan atau penerapan peraturan perundangan dalam sistem </w:t>
      </w:r>
      <w:r>
        <w:rPr>
          <w:rFonts w:ascii="Arial" w:cs="Arial" w:hAnsi="Arial"/>
          <w:color w:val="000000"/>
          <w:sz w:val="24"/>
          <w:szCs w:val="24"/>
          <w:lang w:val="id-ID"/>
        </w:rPr>
        <w:t xml:space="preserve">peradilan </w:t>
      </w:r>
      <w:r>
        <w:rPr>
          <w:rFonts w:ascii="Arial" w:cs="Arial" w:hAnsi="Arial"/>
          <w:color w:val="000000"/>
          <w:sz w:val="24"/>
          <w:szCs w:val="24"/>
          <w:lang w:val="fi-FI"/>
        </w:rPr>
        <w:t>sesuai dengan yang diharapkan.  Clive Gray dkk. (1993) menyebutkan, bahwa</w:t>
      </w:r>
      <w:r>
        <w:rPr>
          <w:rFonts w:ascii="Arial" w:cs="Arial" w:hAnsi="Arial"/>
          <w:color w:val="000000"/>
          <w:sz w:val="24"/>
          <w:szCs w:val="24"/>
          <w:lang w:val="id-ID"/>
        </w:rPr>
        <w:t>:</w:t>
      </w:r>
    </w:p>
    <w:p>
      <w:pPr>
        <w:pStyle w:val="style0"/>
        <w:tabs>
          <w:tab w:val="left" w:leader="none" w:pos="284"/>
        </w:tabs>
        <w:ind w:left="426"/>
        <w:jc w:val="both"/>
        <w:rPr>
          <w:rFonts w:ascii="Arial" w:cs="Arial" w:hAnsi="Arial"/>
          <w:color w:val="000000"/>
          <w:sz w:val="24"/>
          <w:szCs w:val="24"/>
          <w:lang w:val="fi-FI"/>
        </w:rPr>
      </w:pPr>
      <w:r>
        <w:rPr>
          <w:rFonts w:ascii="Arial" w:cs="Arial" w:hAnsi="Arial"/>
          <w:color w:val="000000"/>
          <w:sz w:val="24"/>
          <w:szCs w:val="24"/>
          <w:lang w:val="id-ID"/>
        </w:rPr>
        <w:t>“...</w:t>
      </w:r>
      <w:r>
        <w:rPr>
          <w:rFonts w:ascii="Arial" w:cs="Arial" w:hAnsi="Arial"/>
          <w:color w:val="000000"/>
          <w:sz w:val="24"/>
          <w:szCs w:val="24"/>
          <w:lang w:val="fi-FI"/>
        </w:rPr>
        <w:t xml:space="preserve"> studi formulasi meliputi aspek teknis, institusional, sosial dan eksternalitas.  Studi formulasi merupakan suatu hal yang perlu dilakukan dalam tugas-tugas melaksanakan suatu evaluasi terhadap suatu kegiatan hasil pelaporan yang telah atau akan dilaksanakan</w:t>
      </w:r>
      <w:r>
        <w:rPr>
          <w:rFonts w:ascii="Arial" w:cs="Arial" w:hAnsi="Arial"/>
          <w:color w:val="000000"/>
          <w:sz w:val="24"/>
          <w:szCs w:val="24"/>
          <w:vertAlign w:val="superscript"/>
          <w:lang w:val="sv-SE"/>
        </w:rPr>
        <w:footnoteReference w:id="25"/>
      </w:r>
      <w:r>
        <w:rPr>
          <w:rFonts w:ascii="Arial" w:cs="Arial" w:hAnsi="Arial"/>
          <w:color w:val="000000"/>
          <w:sz w:val="24"/>
          <w:szCs w:val="24"/>
          <w:lang w:val="fi-FI"/>
        </w:rPr>
        <w:t xml:space="preserve">.  </w:t>
      </w:r>
    </w:p>
    <w:p>
      <w:pPr>
        <w:pStyle w:val="style0"/>
        <w:ind w:firstLine="720"/>
        <w:jc w:val="both"/>
        <w:rPr>
          <w:rFonts w:ascii="Arial" w:cs="Arial" w:hAnsi="Arial"/>
          <w:color w:val="000000"/>
          <w:sz w:val="24"/>
          <w:szCs w:val="24"/>
        </w:rPr>
      </w:pPr>
      <w:r>
        <w:rPr>
          <w:rFonts w:ascii="Arial" w:cs="Arial" w:hAnsi="Arial"/>
          <w:color w:val="000000"/>
          <w:sz w:val="24"/>
          <w:szCs w:val="24"/>
          <w:lang w:val="id-ID"/>
        </w:rPr>
        <w:t xml:space="preserve"> </w:t>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 xml:space="preserve">Terdapat empat karakteristik kualitatif pokok dalam evaluasi yaitu: </w:t>
      </w:r>
      <w:r>
        <w:rPr>
          <w:rFonts w:ascii="Arial" w:cs="Arial" w:hAnsi="Arial"/>
          <w:color w:val="000000"/>
          <w:sz w:val="24"/>
          <w:szCs w:val="24"/>
        </w:rPr>
        <w:t>Mudah Dipahami</w:t>
      </w:r>
      <w:r>
        <w:rPr>
          <w:rFonts w:ascii="Arial" w:cs="Arial" w:hAnsi="Arial"/>
          <w:color w:val="000000"/>
          <w:sz w:val="24"/>
          <w:szCs w:val="24"/>
          <w:lang w:val="sv-SE"/>
        </w:rPr>
        <w:t xml:space="preserve">, </w:t>
      </w:r>
      <w:r>
        <w:rPr>
          <w:rFonts w:ascii="Arial" w:cs="Arial" w:hAnsi="Arial"/>
          <w:color w:val="000000"/>
          <w:sz w:val="24"/>
          <w:szCs w:val="24"/>
        </w:rPr>
        <w:t>Relevan</w:t>
      </w:r>
      <w:r>
        <w:rPr>
          <w:rFonts w:ascii="Arial" w:cs="Arial" w:hAnsi="Arial"/>
          <w:color w:val="000000"/>
          <w:sz w:val="24"/>
          <w:szCs w:val="24"/>
          <w:lang w:val="sv-SE"/>
        </w:rPr>
        <w:t xml:space="preserve">, </w:t>
      </w:r>
      <w:r>
        <w:rPr>
          <w:rFonts w:ascii="Arial" w:cs="Arial" w:hAnsi="Arial"/>
          <w:color w:val="000000"/>
          <w:sz w:val="24"/>
          <w:szCs w:val="24"/>
        </w:rPr>
        <w:t>Keandalan</w:t>
      </w:r>
      <w:r>
        <w:rPr>
          <w:rFonts w:ascii="Arial" w:cs="Arial" w:hAnsi="Arial"/>
          <w:color w:val="000000"/>
          <w:sz w:val="24"/>
          <w:szCs w:val="24"/>
          <w:lang w:val="sv-SE"/>
        </w:rPr>
        <w:t xml:space="preserve"> </w:t>
      </w:r>
      <w:r>
        <w:rPr>
          <w:rFonts w:ascii="Arial" w:cs="Arial" w:hAnsi="Arial"/>
          <w:color w:val="000000"/>
          <w:sz w:val="24"/>
          <w:szCs w:val="24"/>
          <w:lang w:val="id-ID"/>
        </w:rPr>
        <w:t>d</w:t>
      </w:r>
      <w:r>
        <w:rPr>
          <w:rFonts w:ascii="Arial" w:cs="Arial" w:hAnsi="Arial"/>
          <w:color w:val="000000"/>
          <w:sz w:val="24"/>
          <w:szCs w:val="24"/>
          <w:lang w:val="sv-SE"/>
        </w:rPr>
        <w:t xml:space="preserve">apat diperbandingkan  (http://id.wikipedia.org/wiki).  </w:t>
      </w:r>
      <w:r>
        <w:rPr>
          <w:rFonts w:ascii="Arial" w:cs="Arial" w:hAnsi="Arial"/>
          <w:color w:val="000000"/>
          <w:sz w:val="24"/>
          <w:szCs w:val="24"/>
          <w:lang w:val="fi-FI"/>
        </w:rPr>
        <w:t xml:space="preserve">Hambatan-hambatan untuk pencapaian tujuan dalam pelaksanaan sistem pemasyarakatan harus dapat diramalkan (predictable), jika adanya hambatan yang berat dapat dikurangi dampaknya.  Untuk mengevaluasi suatu program-program dalam melaksanakan </w:t>
      </w:r>
      <w:r>
        <w:rPr>
          <w:rFonts w:ascii="Arial" w:cs="Arial" w:hAnsi="Arial"/>
          <w:color w:val="000000"/>
          <w:sz w:val="24"/>
          <w:szCs w:val="24"/>
          <w:lang w:val="fi-FI"/>
        </w:rPr>
        <w:t>pembangunan yang diselenggarakan oleh instansi pemerintah  memerlukan suatu studi formulasi.  Clive Gray dkk. (1993) menyebutkan, bahwa studi formulasi meliputi aspek teknis, institusional, sosial dan eksternalitas.</w:t>
      </w:r>
    </w:p>
    <w:p>
      <w:pPr>
        <w:pStyle w:val="style0"/>
        <w:ind w:firstLine="720"/>
        <w:jc w:val="both"/>
        <w:rPr>
          <w:rFonts w:ascii="Arial" w:cs="Arial" w:hAnsi="Arial"/>
          <w:iCs/>
          <w:color w:val="000000"/>
          <w:sz w:val="24"/>
          <w:szCs w:val="24"/>
          <w:lang w:val="fi-FI"/>
        </w:rPr>
      </w:pPr>
      <w:r>
        <w:rPr>
          <w:rFonts w:ascii="Arial" w:cs="Arial" w:hAnsi="Arial"/>
          <w:iCs/>
          <w:color w:val="000000"/>
          <w:sz w:val="24"/>
          <w:szCs w:val="24"/>
          <w:lang w:val="fi-FI"/>
        </w:rPr>
        <w:t xml:space="preserve">Keempat aspek diungkapkan dengan menguraikan beberapa hal yang mendukung kepada aspek-aspek tersebut, antara lain dengan menguraikan dari beberapa  indikatornya.  Aspek teknis dilihat dari segi: </w:t>
      </w:r>
      <w:r>
        <w:rPr>
          <w:rFonts w:ascii="Arial" w:cs="Arial" w:hAnsi="Arial"/>
          <w:color w:val="000000"/>
          <w:sz w:val="24"/>
          <w:szCs w:val="24"/>
        </w:rPr>
        <w:t>Ketersediaan SDM bidang pe</w:t>
      </w:r>
      <w:r>
        <w:rPr>
          <w:rFonts w:ascii="Arial" w:cs="Arial" w:hAnsi="Arial"/>
          <w:color w:val="000000"/>
          <w:sz w:val="24"/>
          <w:szCs w:val="24"/>
          <w:lang w:val="id-ID"/>
        </w:rPr>
        <w:t>layanan</w:t>
      </w:r>
      <w:r>
        <w:rPr>
          <w:rFonts w:ascii="Arial" w:cs="Arial" w:hAnsi="Arial"/>
          <w:color w:val="000000"/>
          <w:sz w:val="24"/>
          <w:szCs w:val="24"/>
        </w:rPr>
        <w:t xml:space="preserve">, </w:t>
      </w:r>
      <w:r>
        <w:rPr>
          <w:rFonts w:ascii="Arial" w:cs="Arial" w:hAnsi="Arial"/>
          <w:color w:val="000000"/>
          <w:sz w:val="24"/>
          <w:szCs w:val="24"/>
          <w:lang w:val="id-ID"/>
        </w:rPr>
        <w:t>k</w:t>
      </w:r>
      <w:r>
        <w:rPr>
          <w:rFonts w:ascii="Arial" w:cs="Arial" w:hAnsi="Arial"/>
          <w:color w:val="000000"/>
          <w:sz w:val="24"/>
          <w:szCs w:val="24"/>
          <w:lang w:val="fi-FI"/>
        </w:rPr>
        <w:t>endala terwujudnya pe</w:t>
      </w:r>
      <w:r>
        <w:rPr>
          <w:rFonts w:ascii="Arial" w:cs="Arial" w:hAnsi="Arial"/>
          <w:color w:val="000000"/>
          <w:sz w:val="24"/>
          <w:szCs w:val="24"/>
          <w:lang w:val="id-ID"/>
        </w:rPr>
        <w:t>layanan</w:t>
      </w:r>
      <w:r>
        <w:rPr>
          <w:rFonts w:ascii="Arial" w:cs="Arial" w:hAnsi="Arial"/>
          <w:color w:val="000000"/>
          <w:sz w:val="24"/>
          <w:szCs w:val="24"/>
          <w:lang w:val="fi-FI"/>
        </w:rPr>
        <w:t xml:space="preserve">, </w:t>
      </w:r>
      <w:r>
        <w:rPr>
          <w:rFonts w:ascii="Arial" w:cs="Arial" w:hAnsi="Arial"/>
          <w:color w:val="000000"/>
          <w:sz w:val="24"/>
          <w:szCs w:val="24"/>
          <w:lang w:val="id-ID"/>
        </w:rPr>
        <w:t>k</w:t>
      </w:r>
      <w:r>
        <w:rPr>
          <w:rFonts w:ascii="Arial" w:cs="Arial" w:hAnsi="Arial"/>
          <w:color w:val="000000"/>
          <w:sz w:val="24"/>
          <w:szCs w:val="24"/>
        </w:rPr>
        <w:t>etepatan penyelesaian pe</w:t>
      </w:r>
      <w:r>
        <w:rPr>
          <w:rFonts w:ascii="Arial" w:cs="Arial" w:hAnsi="Arial"/>
          <w:color w:val="000000"/>
          <w:sz w:val="24"/>
          <w:szCs w:val="24"/>
          <w:lang w:val="id-ID"/>
        </w:rPr>
        <w:t>layanan</w:t>
      </w:r>
      <w:r>
        <w:rPr>
          <w:rFonts w:ascii="Arial" w:cs="Arial" w:hAnsi="Arial"/>
          <w:iCs/>
          <w:color w:val="000000"/>
          <w:sz w:val="24"/>
          <w:szCs w:val="24"/>
          <w:lang w:val="fi-FI"/>
        </w:rPr>
        <w:t>.</w:t>
      </w:r>
      <w:r>
        <w:rPr>
          <w:rFonts w:ascii="Arial" w:cs="Arial" w:hAnsi="Arial"/>
          <w:iCs/>
          <w:color w:val="000000"/>
          <w:sz w:val="24"/>
          <w:szCs w:val="24"/>
          <w:lang w:val="id-ID"/>
        </w:rPr>
        <w:t xml:space="preserve">  </w:t>
      </w:r>
      <w:r>
        <w:rPr>
          <w:rFonts w:ascii="Arial" w:cs="Arial" w:hAnsi="Arial"/>
          <w:color w:val="000000"/>
          <w:sz w:val="24"/>
          <w:szCs w:val="24"/>
        </w:rPr>
        <w:t xml:space="preserve">Aspek  institusional dilihat dari segi: </w:t>
      </w:r>
      <w:r>
        <w:rPr>
          <w:rFonts w:ascii="Arial" w:cs="Arial" w:hAnsi="Arial"/>
          <w:color w:val="000000"/>
          <w:sz w:val="24"/>
          <w:szCs w:val="24"/>
          <w:lang w:val="sv-SE"/>
        </w:rPr>
        <w:t>Pelibatan/koordinasi dengan institusi lain</w:t>
      </w:r>
      <w:r>
        <w:rPr>
          <w:rFonts w:ascii="Arial" w:cs="Arial" w:hAnsi="Arial"/>
          <w:color w:val="000000"/>
          <w:sz w:val="24"/>
          <w:szCs w:val="24"/>
        </w:rPr>
        <w:t xml:space="preserve">, </w:t>
      </w:r>
      <w:r>
        <w:rPr>
          <w:rFonts w:ascii="Arial" w:cs="Arial" w:hAnsi="Arial"/>
          <w:color w:val="000000"/>
          <w:sz w:val="24"/>
          <w:szCs w:val="24"/>
          <w:lang w:val="id-ID"/>
        </w:rPr>
        <w:t>p</w:t>
      </w:r>
      <w:r>
        <w:rPr>
          <w:rFonts w:ascii="Arial" w:cs="Arial" w:hAnsi="Arial"/>
          <w:color w:val="000000"/>
          <w:sz w:val="24"/>
          <w:szCs w:val="24"/>
          <w:lang w:val="sv-SE"/>
        </w:rPr>
        <w:t>eraturan pendukung pelaksanaan tugas</w:t>
      </w:r>
      <w:r>
        <w:rPr>
          <w:rFonts w:ascii="Arial" w:cs="Arial" w:hAnsi="Arial"/>
          <w:color w:val="000000"/>
          <w:sz w:val="24"/>
          <w:szCs w:val="24"/>
        </w:rPr>
        <w:t xml:space="preserve">, </w:t>
      </w:r>
      <w:r>
        <w:rPr>
          <w:rFonts w:ascii="Arial" w:cs="Arial" w:hAnsi="Arial"/>
          <w:color w:val="000000"/>
          <w:sz w:val="24"/>
          <w:szCs w:val="24"/>
          <w:lang w:val="id-ID"/>
        </w:rPr>
        <w:t>p</w:t>
      </w:r>
      <w:r>
        <w:rPr>
          <w:rFonts w:ascii="Arial" w:cs="Arial" w:hAnsi="Arial"/>
          <w:color w:val="000000"/>
          <w:sz w:val="24"/>
          <w:szCs w:val="24"/>
        </w:rPr>
        <w:t>emberian tugas-tugas pe</w:t>
      </w:r>
      <w:r>
        <w:rPr>
          <w:rFonts w:ascii="Arial" w:cs="Arial" w:hAnsi="Arial"/>
          <w:color w:val="000000"/>
          <w:sz w:val="24"/>
          <w:szCs w:val="24"/>
          <w:lang w:val="id-ID"/>
        </w:rPr>
        <w:t>layanan</w:t>
      </w:r>
      <w:r>
        <w:rPr>
          <w:rFonts w:ascii="Arial" w:cs="Arial" w:hAnsi="Arial"/>
          <w:color w:val="000000"/>
          <w:sz w:val="24"/>
          <w:szCs w:val="24"/>
          <w:lang w:val="fi-FI"/>
        </w:rPr>
        <w:t>.</w:t>
      </w:r>
      <w:r>
        <w:rPr>
          <w:rFonts w:ascii="Arial" w:cs="Arial" w:hAnsi="Arial"/>
          <w:color w:val="000000"/>
          <w:sz w:val="24"/>
          <w:szCs w:val="24"/>
        </w:rPr>
        <w:t xml:space="preserve">  </w:t>
      </w:r>
      <w:r>
        <w:rPr>
          <w:rFonts w:ascii="Arial" w:cs="Arial" w:hAnsi="Arial"/>
          <w:color w:val="000000"/>
          <w:sz w:val="24"/>
          <w:szCs w:val="24"/>
          <w:lang w:val="nl-NL"/>
        </w:rPr>
        <w:t xml:space="preserve">Aspek  sosial dilihat dari segi: </w:t>
      </w:r>
      <w:r>
        <w:rPr>
          <w:rFonts w:ascii="Arial" w:cs="Arial" w:hAnsi="Arial"/>
          <w:color w:val="000000"/>
          <w:sz w:val="24"/>
          <w:szCs w:val="24"/>
        </w:rPr>
        <w:t>Mutu hasil pe</w:t>
      </w:r>
      <w:r>
        <w:rPr>
          <w:rFonts w:ascii="Arial" w:cs="Arial" w:hAnsi="Arial"/>
          <w:color w:val="000000"/>
          <w:sz w:val="24"/>
          <w:szCs w:val="24"/>
          <w:lang w:val="id-ID"/>
        </w:rPr>
        <w:t>layanan</w:t>
      </w:r>
      <w:r>
        <w:rPr>
          <w:rFonts w:ascii="Arial" w:cs="Arial" w:hAnsi="Arial"/>
          <w:color w:val="000000"/>
          <w:sz w:val="24"/>
          <w:szCs w:val="24"/>
        </w:rPr>
        <w:t xml:space="preserve">, </w:t>
      </w:r>
      <w:r>
        <w:rPr>
          <w:rFonts w:ascii="Arial" w:cs="Arial" w:hAnsi="Arial"/>
          <w:color w:val="000000"/>
          <w:sz w:val="24"/>
          <w:szCs w:val="24"/>
          <w:lang w:val="id-ID"/>
        </w:rPr>
        <w:t>t</w:t>
      </w:r>
      <w:r>
        <w:rPr>
          <w:rFonts w:ascii="Arial" w:cs="Arial" w:hAnsi="Arial"/>
          <w:color w:val="000000"/>
          <w:sz w:val="24"/>
          <w:szCs w:val="24"/>
        </w:rPr>
        <w:t>anggapan secara objektif hasil pe</w:t>
      </w:r>
      <w:r>
        <w:rPr>
          <w:rFonts w:ascii="Arial" w:cs="Arial" w:hAnsi="Arial"/>
          <w:color w:val="000000"/>
          <w:sz w:val="24"/>
          <w:szCs w:val="24"/>
          <w:lang w:val="id-ID"/>
        </w:rPr>
        <w:t>layanan</w:t>
      </w:r>
      <w:r>
        <w:rPr>
          <w:rFonts w:ascii="Arial" w:cs="Arial" w:hAnsi="Arial"/>
          <w:color w:val="000000"/>
          <w:sz w:val="24"/>
          <w:szCs w:val="24"/>
        </w:rPr>
        <w:t xml:space="preserve">, </w:t>
      </w:r>
      <w:r>
        <w:rPr>
          <w:rFonts w:ascii="Arial" w:cs="Arial" w:hAnsi="Arial"/>
          <w:color w:val="000000"/>
          <w:sz w:val="24"/>
          <w:szCs w:val="24"/>
          <w:lang w:val="id-ID"/>
        </w:rPr>
        <w:t>p</w:t>
      </w:r>
      <w:r>
        <w:rPr>
          <w:rFonts w:ascii="Arial" w:cs="Arial" w:hAnsi="Arial"/>
          <w:color w:val="000000"/>
          <w:sz w:val="24"/>
          <w:szCs w:val="24"/>
        </w:rPr>
        <w:t>engaruh hasil pe</w:t>
      </w:r>
      <w:r>
        <w:rPr>
          <w:rFonts w:ascii="Arial" w:cs="Arial" w:hAnsi="Arial"/>
          <w:color w:val="000000"/>
          <w:sz w:val="24"/>
          <w:szCs w:val="24"/>
          <w:lang w:val="id-ID"/>
        </w:rPr>
        <w:t>layanan</w:t>
      </w:r>
      <w:r>
        <w:rPr>
          <w:rFonts w:ascii="Arial" w:cs="Arial" w:hAnsi="Arial"/>
          <w:color w:val="000000"/>
          <w:sz w:val="24"/>
          <w:szCs w:val="24"/>
        </w:rPr>
        <w:t xml:space="preserve"> terhadap masyarakat,</w:t>
      </w:r>
      <w:r>
        <w:rPr>
          <w:rFonts w:ascii="Arial" w:cs="Arial" w:hAnsi="Arial"/>
          <w:color w:val="000000"/>
          <w:sz w:val="24"/>
          <w:szCs w:val="24"/>
          <w:lang w:val="nl-NL"/>
        </w:rPr>
        <w:t xml:space="preserve"> </w:t>
      </w:r>
      <w:r>
        <w:rPr>
          <w:rFonts w:ascii="Arial" w:cs="Arial" w:hAnsi="Arial"/>
          <w:color w:val="000000"/>
          <w:sz w:val="24"/>
          <w:szCs w:val="24"/>
          <w:lang w:val="id-ID"/>
        </w:rPr>
        <w:t>p</w:t>
      </w:r>
      <w:r>
        <w:rPr>
          <w:rFonts w:ascii="Arial" w:cs="Arial" w:hAnsi="Arial"/>
          <w:color w:val="000000"/>
          <w:sz w:val="24"/>
          <w:szCs w:val="24"/>
          <w:lang w:val="de-DE"/>
        </w:rPr>
        <w:t>engaruh</w:t>
      </w:r>
      <w:r>
        <w:rPr>
          <w:rFonts w:ascii="Arial" w:cs="Arial" w:hAnsi="Arial"/>
          <w:color w:val="000000"/>
          <w:sz w:val="24"/>
          <w:szCs w:val="24"/>
          <w:lang w:val="id-ID"/>
        </w:rPr>
        <w:t xml:space="preserve"> a</w:t>
      </w:r>
      <w:r>
        <w:rPr>
          <w:rFonts w:ascii="Arial" w:cs="Arial" w:hAnsi="Arial"/>
          <w:color w:val="000000"/>
          <w:sz w:val="24"/>
          <w:szCs w:val="24"/>
          <w:lang w:val="nl-NL"/>
        </w:rPr>
        <w:t>spek  eksternalitas dilihat dari segi:</w:t>
      </w:r>
      <w:r>
        <w:rPr>
          <w:rFonts w:ascii="Arial" w:cs="Arial" w:hAnsi="Arial"/>
          <w:color w:val="000000"/>
          <w:sz w:val="24"/>
          <w:szCs w:val="24"/>
          <w:lang w:val="fi-FI"/>
        </w:rPr>
        <w:t xml:space="preserve"> Kebijakan pelaksanaan </w:t>
      </w:r>
      <w:r>
        <w:rPr>
          <w:rFonts w:ascii="Arial" w:cs="Arial" w:hAnsi="Arial"/>
          <w:color w:val="000000"/>
          <w:sz w:val="24"/>
          <w:szCs w:val="24"/>
        </w:rPr>
        <w:t>pe</w:t>
      </w:r>
      <w:r>
        <w:rPr>
          <w:rFonts w:ascii="Arial" w:cs="Arial" w:hAnsi="Arial"/>
          <w:color w:val="000000"/>
          <w:sz w:val="24"/>
          <w:szCs w:val="24"/>
          <w:lang w:val="id-ID"/>
        </w:rPr>
        <w:t>layanan</w:t>
      </w:r>
      <w:r>
        <w:rPr>
          <w:rFonts w:ascii="Arial" w:cs="Arial" w:hAnsi="Arial"/>
          <w:color w:val="000000"/>
          <w:sz w:val="24"/>
          <w:szCs w:val="24"/>
          <w:lang w:val="fi-FI"/>
        </w:rPr>
        <w:t xml:space="preserve">, </w:t>
      </w:r>
      <w:r>
        <w:rPr>
          <w:rFonts w:ascii="Arial" w:cs="Arial" w:hAnsi="Arial"/>
          <w:color w:val="000000"/>
          <w:sz w:val="24"/>
          <w:szCs w:val="24"/>
          <w:lang w:val="id-ID"/>
        </w:rPr>
        <w:t>p</w:t>
      </w:r>
      <w:r>
        <w:rPr>
          <w:rFonts w:ascii="Arial" w:cs="Arial" w:hAnsi="Arial"/>
          <w:color w:val="000000"/>
          <w:sz w:val="24"/>
          <w:szCs w:val="24"/>
          <w:lang w:val="fi-FI"/>
        </w:rPr>
        <w:t xml:space="preserve">emahaman pelaksanaan tugas, </w:t>
      </w:r>
      <w:r>
        <w:rPr>
          <w:rFonts w:ascii="Arial" w:cs="Arial" w:hAnsi="Arial"/>
          <w:color w:val="000000"/>
          <w:sz w:val="24"/>
          <w:szCs w:val="24"/>
          <w:lang w:val="id-ID"/>
        </w:rPr>
        <w:t>t</w:t>
      </w:r>
      <w:r>
        <w:rPr>
          <w:rFonts w:ascii="Arial" w:cs="Arial" w:hAnsi="Arial"/>
          <w:color w:val="000000"/>
          <w:sz w:val="24"/>
          <w:szCs w:val="24"/>
          <w:lang w:val="sv-SE"/>
        </w:rPr>
        <w:t xml:space="preserve">anggapan hasil </w:t>
      </w:r>
      <w:r>
        <w:rPr>
          <w:rFonts w:ascii="Arial" w:cs="Arial" w:hAnsi="Arial"/>
          <w:color w:val="000000"/>
          <w:sz w:val="24"/>
          <w:szCs w:val="24"/>
        </w:rPr>
        <w:t>pe</w:t>
      </w:r>
      <w:r>
        <w:rPr>
          <w:rFonts w:ascii="Arial" w:cs="Arial" w:hAnsi="Arial"/>
          <w:color w:val="000000"/>
          <w:sz w:val="24"/>
          <w:szCs w:val="24"/>
          <w:lang w:val="id-ID"/>
        </w:rPr>
        <w:t>layanan</w:t>
      </w:r>
      <w:r>
        <w:rPr>
          <w:rFonts w:ascii="Arial" w:cs="Arial" w:hAnsi="Arial"/>
          <w:color w:val="000000"/>
          <w:sz w:val="24"/>
          <w:szCs w:val="24"/>
          <w:lang w:val="sv-SE"/>
        </w:rPr>
        <w:t xml:space="preserve"> oleh pegawai</w:t>
      </w:r>
      <w:r>
        <w:rPr>
          <w:rFonts w:ascii="Arial" w:cs="Arial" w:hAnsi="Arial"/>
          <w:color w:val="000000"/>
          <w:sz w:val="24"/>
          <w:szCs w:val="24"/>
          <w:lang w:val="fi-FI"/>
        </w:rPr>
        <w:t xml:space="preserve">, </w:t>
      </w:r>
      <w:r>
        <w:rPr>
          <w:rFonts w:ascii="Arial" w:cs="Arial" w:hAnsi="Arial"/>
          <w:color w:val="000000"/>
          <w:sz w:val="24"/>
          <w:szCs w:val="24"/>
          <w:lang w:val="id-ID"/>
        </w:rPr>
        <w:t>d</w:t>
      </w:r>
      <w:r>
        <w:rPr>
          <w:rFonts w:ascii="Arial" w:cs="Arial" w:hAnsi="Arial"/>
          <w:color w:val="000000"/>
          <w:sz w:val="24"/>
          <w:szCs w:val="24"/>
        </w:rPr>
        <w:t>ampak perubahan kebijakan baru.</w:t>
      </w:r>
    </w:p>
    <w:p>
      <w:pPr>
        <w:pStyle w:val="style0"/>
        <w:ind w:firstLine="720"/>
        <w:jc w:val="both"/>
        <w:rPr>
          <w:rFonts w:ascii="Arial" w:cs="Arial" w:hAnsi="Arial"/>
          <w:color w:val="000000"/>
          <w:sz w:val="24"/>
          <w:szCs w:val="24"/>
        </w:rPr>
      </w:pPr>
      <w:r>
        <w:rPr>
          <w:rFonts w:ascii="Arial" w:cs="Arial" w:hAnsi="Arial"/>
          <w:color w:val="000000"/>
          <w:sz w:val="24"/>
          <w:szCs w:val="24"/>
          <w:lang w:val="fi-FI"/>
        </w:rPr>
        <w:t>Aspek teknis meliputi berbagai masalah tersedianya sumber-sumber daya manusia, buku-buku</w:t>
      </w:r>
      <w:r>
        <w:rPr>
          <w:rFonts w:ascii="Arial" w:cs="Arial" w:hAnsi="Arial"/>
          <w:color w:val="000000"/>
          <w:sz w:val="24"/>
          <w:szCs w:val="24"/>
          <w:lang w:val="id-ID"/>
        </w:rPr>
        <w:t xml:space="preserve"> dan brosur/pamplet</w:t>
      </w:r>
      <w:r>
        <w:rPr>
          <w:rFonts w:ascii="Arial" w:cs="Arial" w:hAnsi="Arial"/>
          <w:color w:val="000000"/>
          <w:sz w:val="24"/>
          <w:szCs w:val="24"/>
          <w:lang w:val="fi-FI"/>
        </w:rPr>
        <w:t xml:space="preserve"> penunjang masalah pe</w:t>
      </w:r>
      <w:r>
        <w:rPr>
          <w:rFonts w:ascii="Arial" w:cs="Arial" w:hAnsi="Arial"/>
          <w:color w:val="000000"/>
          <w:sz w:val="24"/>
          <w:szCs w:val="24"/>
          <w:lang w:val="id-ID"/>
        </w:rPr>
        <w:t>layanan</w:t>
      </w:r>
      <w:r>
        <w:rPr>
          <w:rFonts w:ascii="Arial" w:cs="Arial" w:hAnsi="Arial"/>
          <w:color w:val="000000"/>
          <w:sz w:val="24"/>
          <w:szCs w:val="24"/>
          <w:lang w:val="fi-FI"/>
        </w:rPr>
        <w:t>, ruang lingkupnya dan sosialisasi pe</w:t>
      </w:r>
      <w:r>
        <w:rPr>
          <w:rFonts w:ascii="Arial" w:cs="Arial" w:hAnsi="Arial"/>
          <w:color w:val="000000"/>
          <w:sz w:val="24"/>
          <w:szCs w:val="24"/>
          <w:lang w:val="id-ID"/>
        </w:rPr>
        <w:t>layanan</w:t>
      </w:r>
      <w:r>
        <w:rPr>
          <w:rFonts w:ascii="Arial" w:cs="Arial" w:hAnsi="Arial"/>
          <w:color w:val="000000"/>
          <w:sz w:val="24"/>
          <w:szCs w:val="24"/>
          <w:lang w:val="fi-FI"/>
        </w:rPr>
        <w:t xml:space="preserve"> yang telah di</w:t>
      </w:r>
      <w:r>
        <w:rPr>
          <w:rFonts w:ascii="Arial" w:cs="Arial" w:hAnsi="Arial"/>
          <w:color w:val="000000"/>
          <w:sz w:val="24"/>
          <w:szCs w:val="24"/>
          <w:lang w:val="id-ID"/>
        </w:rPr>
        <w:t>laksanakan</w:t>
      </w:r>
      <w:r>
        <w:rPr>
          <w:rFonts w:ascii="Arial" w:cs="Arial" w:hAnsi="Arial"/>
          <w:color w:val="000000"/>
          <w:sz w:val="24"/>
          <w:szCs w:val="24"/>
          <w:lang w:val="fi-FI"/>
        </w:rPr>
        <w:t xml:space="preserve">, dikumpulkan secara keseluruhan.  </w:t>
      </w:r>
      <w:r>
        <w:rPr>
          <w:rFonts w:ascii="Arial" w:cs="Arial" w:hAnsi="Arial"/>
          <w:color w:val="000000"/>
          <w:sz w:val="24"/>
          <w:szCs w:val="24"/>
        </w:rPr>
        <w:t>Apakah hasil-hasil pe</w:t>
      </w:r>
      <w:r>
        <w:rPr>
          <w:rFonts w:ascii="Arial" w:cs="Arial" w:hAnsi="Arial"/>
          <w:color w:val="000000"/>
          <w:sz w:val="24"/>
          <w:szCs w:val="24"/>
          <w:lang w:val="id-ID"/>
        </w:rPr>
        <w:t>layanan</w:t>
      </w:r>
      <w:r>
        <w:rPr>
          <w:rFonts w:ascii="Arial" w:cs="Arial" w:hAnsi="Arial"/>
          <w:color w:val="000000"/>
          <w:sz w:val="24"/>
          <w:szCs w:val="24"/>
        </w:rPr>
        <w:t xml:space="preserve"> tersebut layak untuk mengambil langkah lanjutan untuk menciptakan dan menerapkan suatu kebijakan di lapangan tugas. Seberapa jauh sarana dan prasarana pe</w:t>
      </w:r>
      <w:r>
        <w:rPr>
          <w:rFonts w:ascii="Arial" w:cs="Arial" w:hAnsi="Arial"/>
          <w:color w:val="000000"/>
          <w:sz w:val="24"/>
          <w:szCs w:val="24"/>
          <w:lang w:val="id-ID"/>
        </w:rPr>
        <w:t>layanan</w:t>
      </w:r>
      <w:r>
        <w:rPr>
          <w:rFonts w:ascii="Arial" w:cs="Arial" w:hAnsi="Arial"/>
          <w:color w:val="000000"/>
          <w:sz w:val="24"/>
          <w:szCs w:val="24"/>
        </w:rPr>
        <w:t xml:space="preserve">, persediaan tenaga pembina dan dukungan keuangan untuk dapat memudahkan atau merintangi pelaksanaannya ?  </w:t>
      </w:r>
    </w:p>
    <w:p>
      <w:pPr>
        <w:pStyle w:val="style0"/>
        <w:ind w:firstLine="720"/>
        <w:jc w:val="both"/>
        <w:rPr>
          <w:rFonts w:ascii="Arial" w:cs="Arial" w:hAnsi="Arial"/>
          <w:color w:val="000000"/>
          <w:sz w:val="24"/>
          <w:szCs w:val="24"/>
        </w:rPr>
      </w:pPr>
      <w:r>
        <w:rPr>
          <w:rFonts w:ascii="Arial" w:cs="Arial" w:hAnsi="Arial"/>
          <w:color w:val="000000"/>
          <w:sz w:val="24"/>
          <w:szCs w:val="24"/>
        </w:rPr>
        <w:t>Apakah permasalahan lembaga pe</w:t>
      </w:r>
      <w:r>
        <w:rPr>
          <w:rFonts w:ascii="Arial" w:cs="Arial" w:hAnsi="Arial"/>
          <w:color w:val="000000"/>
          <w:sz w:val="24"/>
          <w:szCs w:val="24"/>
          <w:lang w:val="id-ID"/>
        </w:rPr>
        <w:t>layanan</w:t>
      </w:r>
      <w:r>
        <w:rPr>
          <w:rFonts w:ascii="Arial" w:cs="Arial" w:hAnsi="Arial"/>
          <w:color w:val="000000"/>
          <w:sz w:val="24"/>
          <w:szCs w:val="24"/>
        </w:rPr>
        <w:t xml:space="preserve"> yang diperlukan sudah sesuai dengan kriteria yang diperlukan atau memenuhi atau dibutuhkan untuk diadakan perubahan.  Apakah unit-unit pe</w:t>
      </w:r>
      <w:r>
        <w:rPr>
          <w:rFonts w:ascii="Arial" w:cs="Arial" w:hAnsi="Arial"/>
          <w:color w:val="000000"/>
          <w:sz w:val="24"/>
          <w:szCs w:val="24"/>
          <w:lang w:val="id-ID"/>
        </w:rPr>
        <w:t>layanan</w:t>
      </w:r>
      <w:r>
        <w:rPr>
          <w:rFonts w:ascii="Arial" w:cs="Arial" w:hAnsi="Arial"/>
          <w:color w:val="000000"/>
          <w:sz w:val="24"/>
          <w:szCs w:val="24"/>
        </w:rPr>
        <w:t xml:space="preserve"> tersebut sebagian atau seluruhnya harus diperbaharui mata rantai prosesnya mulai dari pengajuan sampai pada pembacaan putusannya, baik dari kelengkapan administrasi  maupun mekanisme penanganannya.  </w:t>
      </w:r>
    </w:p>
    <w:p>
      <w:pPr>
        <w:pStyle w:val="style0"/>
        <w:ind w:firstLine="720"/>
        <w:jc w:val="both"/>
        <w:rPr>
          <w:rFonts w:ascii="Arial" w:cs="Arial" w:hAnsi="Arial"/>
          <w:color w:val="000000"/>
          <w:sz w:val="24"/>
          <w:szCs w:val="24"/>
          <w:lang w:val="sv-SE"/>
        </w:rPr>
      </w:pPr>
      <w:r>
        <w:rPr>
          <w:rFonts w:ascii="Arial" w:cs="Arial" w:hAnsi="Arial"/>
          <w:color w:val="000000"/>
          <w:sz w:val="24"/>
          <w:szCs w:val="24"/>
        </w:rPr>
        <w:t>Apakah sumber daya manusia bidang pe</w:t>
      </w:r>
      <w:r>
        <w:rPr>
          <w:rFonts w:ascii="Arial" w:cs="Arial" w:hAnsi="Arial"/>
          <w:color w:val="000000"/>
          <w:sz w:val="24"/>
          <w:szCs w:val="24"/>
          <w:lang w:val="id-ID"/>
        </w:rPr>
        <w:t>layanan</w:t>
      </w:r>
      <w:r>
        <w:rPr>
          <w:rFonts w:ascii="Arial" w:cs="Arial" w:hAnsi="Arial"/>
          <w:color w:val="000000"/>
          <w:sz w:val="24"/>
          <w:szCs w:val="24"/>
        </w:rPr>
        <w:t xml:space="preserve"> sudah memenuhi kriteria </w:t>
      </w:r>
      <w:r>
        <w:rPr>
          <w:rFonts w:ascii="Arial" w:cs="Arial" w:hAnsi="Arial"/>
          <w:color w:val="000000"/>
          <w:sz w:val="24"/>
          <w:szCs w:val="24"/>
        </w:rPr>
        <w:t>dan tuntutan penugasan, termasuk tenaga ahli lainnya yang diperlukan dalam menunjang tugas-tugas pe</w:t>
      </w:r>
      <w:r>
        <w:rPr>
          <w:rFonts w:ascii="Arial" w:cs="Arial" w:hAnsi="Arial"/>
          <w:color w:val="000000"/>
          <w:sz w:val="24"/>
          <w:szCs w:val="24"/>
          <w:lang w:val="id-ID"/>
        </w:rPr>
        <w:t>layanan</w:t>
      </w:r>
      <w:r>
        <w:rPr>
          <w:rFonts w:ascii="Arial" w:cs="Arial" w:hAnsi="Arial"/>
          <w:color w:val="000000"/>
          <w:sz w:val="24"/>
          <w:szCs w:val="24"/>
        </w:rPr>
        <w:t xml:space="preserve">, tersedia atau tidak, memadai atau tidak  ?  </w:t>
      </w:r>
      <w:r>
        <w:rPr>
          <w:rFonts w:ascii="Arial" w:cs="Arial" w:hAnsi="Arial"/>
          <w:color w:val="000000"/>
          <w:sz w:val="24"/>
          <w:szCs w:val="24"/>
          <w:lang w:val="sv-SE"/>
        </w:rPr>
        <w:t xml:space="preserve">Bagaimana dengan kompensasi yang mereka terima apakah layak atau tidak ? Apakah tersedia fasilitas/sarana dan prasarana untuk menyusun atau menelaah dan melanjutkan kembali </w:t>
      </w:r>
      <w:r>
        <w:rPr>
          <w:rFonts w:ascii="Arial" w:cs="Arial" w:hAnsi="Arial"/>
          <w:color w:val="000000"/>
          <w:sz w:val="24"/>
          <w:szCs w:val="24"/>
        </w:rPr>
        <w:t>dalam proses perkara kasasi supaya lebih sederhana dan cepat</w:t>
      </w:r>
      <w:r>
        <w:rPr>
          <w:rFonts w:ascii="Arial" w:cs="Arial" w:hAnsi="Arial"/>
          <w:color w:val="000000"/>
          <w:sz w:val="24"/>
          <w:szCs w:val="24"/>
          <w:lang w:val="sv-SE"/>
        </w:rPr>
        <w:t xml:space="preserve"> ?</w:t>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Hal-hal tersebut berkaitan juga dengan  tugas-tugas pe</w:t>
      </w:r>
      <w:r>
        <w:rPr>
          <w:rFonts w:ascii="Arial" w:cs="Arial" w:hAnsi="Arial"/>
          <w:color w:val="000000"/>
          <w:sz w:val="24"/>
          <w:szCs w:val="24"/>
          <w:lang w:val="id-ID"/>
        </w:rPr>
        <w:t>layanan</w:t>
      </w:r>
      <w:r>
        <w:rPr>
          <w:rFonts w:ascii="Arial" w:cs="Arial" w:hAnsi="Arial"/>
          <w:color w:val="000000"/>
          <w:sz w:val="24"/>
          <w:szCs w:val="24"/>
          <w:lang w:val="sv-SE"/>
        </w:rPr>
        <w:t xml:space="preserve"> yang harus dilakukan, pencapaian atau pemenuhan target yang harus dipenuhi, hasil-hasil </w:t>
      </w:r>
      <w:r>
        <w:rPr>
          <w:rFonts w:ascii="Arial" w:cs="Arial" w:hAnsi="Arial"/>
          <w:color w:val="000000"/>
          <w:sz w:val="24"/>
          <w:szCs w:val="24"/>
          <w:lang w:val="id-ID"/>
        </w:rPr>
        <w:t>peng</w:t>
      </w:r>
      <w:r>
        <w:rPr>
          <w:rFonts w:ascii="Arial" w:cs="Arial" w:hAnsi="Arial"/>
          <w:color w:val="000000"/>
          <w:sz w:val="24"/>
          <w:szCs w:val="24"/>
          <w:lang w:val="sv-SE"/>
        </w:rPr>
        <w:t>kajian yang harus diterbitkan, faktor keamanan dan kenyamanan saat membuat konsep atau saat melaksanakan pe</w:t>
      </w:r>
      <w:r>
        <w:rPr>
          <w:rFonts w:ascii="Arial" w:cs="Arial" w:hAnsi="Arial"/>
          <w:color w:val="000000"/>
          <w:sz w:val="24"/>
          <w:szCs w:val="24"/>
          <w:lang w:val="id-ID"/>
        </w:rPr>
        <w:t>layanan</w:t>
      </w:r>
      <w:r>
        <w:rPr>
          <w:rFonts w:ascii="Arial" w:cs="Arial" w:hAnsi="Arial"/>
          <w:color w:val="000000"/>
          <w:sz w:val="24"/>
          <w:szCs w:val="24"/>
          <w:lang w:val="sv-SE"/>
        </w:rPr>
        <w:t>, pengiriman dan penerimaan data-data yang diperlukan</w:t>
      </w:r>
      <w:r>
        <w:rPr>
          <w:rFonts w:ascii="Arial" w:cs="Arial" w:hAnsi="Arial"/>
          <w:color w:val="000000"/>
          <w:sz w:val="24"/>
          <w:szCs w:val="24"/>
          <w:lang w:val="id-ID"/>
        </w:rPr>
        <w:t xml:space="preserve"> </w:t>
      </w:r>
      <w:r>
        <w:rPr>
          <w:rFonts w:ascii="Arial" w:cs="Arial" w:hAnsi="Arial"/>
          <w:color w:val="000000"/>
          <w:sz w:val="24"/>
          <w:szCs w:val="24"/>
          <w:lang w:val="sv-SE"/>
        </w:rPr>
        <w:t xml:space="preserve">dan sebagainya. </w:t>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 xml:space="preserve">Selain harus ditingkatkan mutu hasil </w:t>
      </w:r>
      <w:r>
        <w:rPr>
          <w:rFonts w:ascii="Arial" w:cs="Arial" w:hAnsi="Arial"/>
          <w:color w:val="000000"/>
          <w:sz w:val="24"/>
          <w:szCs w:val="24"/>
        </w:rPr>
        <w:t>pe</w:t>
      </w:r>
      <w:r>
        <w:rPr>
          <w:rFonts w:ascii="Arial" w:cs="Arial" w:hAnsi="Arial"/>
          <w:color w:val="000000"/>
          <w:sz w:val="24"/>
          <w:szCs w:val="24"/>
          <w:lang w:val="id-ID"/>
        </w:rPr>
        <w:t>layanan</w:t>
      </w:r>
      <w:r>
        <w:rPr>
          <w:rFonts w:ascii="Arial" w:cs="Arial" w:hAnsi="Arial"/>
          <w:color w:val="000000"/>
          <w:sz w:val="24"/>
          <w:szCs w:val="24"/>
          <w:lang w:val="sv-SE"/>
        </w:rPr>
        <w:t xml:space="preserve"> dan manfaatnya, </w:t>
      </w:r>
      <w:r>
        <w:rPr>
          <w:rFonts w:ascii="Arial" w:cs="Arial" w:hAnsi="Arial"/>
          <w:color w:val="000000"/>
          <w:sz w:val="24"/>
          <w:szCs w:val="24"/>
        </w:rPr>
        <w:t>pe</w:t>
      </w:r>
      <w:r>
        <w:rPr>
          <w:rFonts w:ascii="Arial" w:cs="Arial" w:hAnsi="Arial"/>
          <w:color w:val="000000"/>
          <w:sz w:val="24"/>
          <w:szCs w:val="24"/>
          <w:lang w:val="id-ID"/>
        </w:rPr>
        <w:t>layanan</w:t>
      </w:r>
      <w:r>
        <w:rPr>
          <w:rFonts w:ascii="Arial" w:cs="Arial" w:hAnsi="Arial"/>
          <w:color w:val="000000"/>
          <w:sz w:val="24"/>
          <w:szCs w:val="24"/>
          <w:lang w:val="sv-SE"/>
        </w:rPr>
        <w:t xml:space="preserve"> juga harus mempunyai suatu tujuan sosial khusus.  Tujuan khusus tersebut dapat berupa suatu kesempatan bagi pegawai, untuk bisa mandiri dan memperluas pengetahuannya, memperoleh kompensasi yang layak.  Kesempatan bagi pengambil kebijakan untuk menggunakan dan memanfaatkan hasil </w:t>
      </w:r>
      <w:r>
        <w:rPr>
          <w:rFonts w:ascii="Arial" w:cs="Arial" w:hAnsi="Arial"/>
          <w:color w:val="000000"/>
          <w:sz w:val="24"/>
          <w:szCs w:val="24"/>
        </w:rPr>
        <w:t>pe</w:t>
      </w:r>
      <w:r>
        <w:rPr>
          <w:rFonts w:ascii="Arial" w:cs="Arial" w:hAnsi="Arial"/>
          <w:color w:val="000000"/>
          <w:sz w:val="24"/>
          <w:szCs w:val="24"/>
          <w:lang w:val="id-ID"/>
        </w:rPr>
        <w:t>layanan</w:t>
      </w:r>
      <w:r>
        <w:rPr>
          <w:rFonts w:ascii="Arial" w:cs="Arial" w:hAnsi="Arial"/>
          <w:color w:val="000000"/>
          <w:sz w:val="24"/>
          <w:szCs w:val="24"/>
          <w:lang w:val="sv-SE"/>
        </w:rPr>
        <w:t xml:space="preserve"> yang diperoleh dengan tepat.  </w:t>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 xml:space="preserve">Kesempatan bagi anggota organisasi menyalurkan aspirasinya dan mendapat tanggapan secara objektif serta menikmati perkembangan organisasi secara  nyata di lapangan tugas masing-masing, baik di pusat maupun </w:t>
      </w:r>
      <w:r>
        <w:rPr>
          <w:rFonts w:ascii="Arial" w:cs="Arial" w:hAnsi="Arial"/>
          <w:color w:val="000000"/>
          <w:sz w:val="24"/>
          <w:szCs w:val="24"/>
          <w:lang w:val="id-ID"/>
        </w:rPr>
        <w:t>daerah</w:t>
      </w:r>
      <w:r>
        <w:rPr>
          <w:rFonts w:ascii="Arial" w:cs="Arial" w:hAnsi="Arial"/>
          <w:color w:val="000000"/>
          <w:sz w:val="24"/>
          <w:szCs w:val="24"/>
          <w:lang w:val="sv-SE"/>
        </w:rPr>
        <w:t>.</w:t>
      </w:r>
    </w:p>
    <w:p>
      <w:pPr>
        <w:pStyle w:val="style0"/>
        <w:ind w:firstLine="720"/>
        <w:jc w:val="both"/>
        <w:rPr>
          <w:rFonts w:ascii="Arial" w:cs="Arial" w:hAnsi="Arial"/>
          <w:color w:val="000000"/>
          <w:sz w:val="24"/>
          <w:szCs w:val="24"/>
          <w:lang w:val="sv-SE"/>
        </w:rPr>
      </w:pPr>
      <w:r>
        <w:rPr>
          <w:rFonts w:ascii="Arial" w:cs="Arial" w:hAnsi="Arial"/>
          <w:color w:val="000000"/>
          <w:sz w:val="24"/>
          <w:szCs w:val="24"/>
          <w:lang w:val="sv-SE"/>
        </w:rPr>
        <w:t>Keuntungan-keuntungan yang diperoleh dari hasil pe</w:t>
      </w:r>
      <w:r>
        <w:rPr>
          <w:rFonts w:ascii="Arial" w:cs="Arial" w:hAnsi="Arial"/>
          <w:color w:val="000000"/>
          <w:sz w:val="24"/>
          <w:szCs w:val="24"/>
          <w:lang w:val="id-ID"/>
        </w:rPr>
        <w:t>layanan</w:t>
      </w:r>
      <w:r>
        <w:rPr>
          <w:rFonts w:ascii="Arial" w:cs="Arial" w:hAnsi="Arial"/>
          <w:color w:val="000000"/>
          <w:sz w:val="24"/>
          <w:szCs w:val="24"/>
          <w:lang w:val="sv-SE"/>
        </w:rPr>
        <w:t>, secara umum harus memberikan suatu dampak nyata bagi pe</w:t>
      </w:r>
      <w:r>
        <w:rPr>
          <w:rFonts w:ascii="Arial" w:cs="Arial" w:hAnsi="Arial"/>
          <w:color w:val="000000"/>
          <w:sz w:val="24"/>
          <w:szCs w:val="24"/>
          <w:lang w:val="id-ID"/>
        </w:rPr>
        <w:t>layanan</w:t>
      </w:r>
      <w:r>
        <w:rPr>
          <w:rFonts w:ascii="Arial" w:cs="Arial" w:hAnsi="Arial"/>
          <w:color w:val="000000"/>
          <w:sz w:val="24"/>
          <w:szCs w:val="24"/>
          <w:lang w:val="sv-SE"/>
        </w:rPr>
        <w:t xml:space="preserve"> berupa kebijakan-kebijakan yang dapat dilaksanakan dengan mudah dan dipahami dalam pelaksanaan tugas anggota organisasi.  Sehingga aparatur pengadilan dapat memberikan suatu respon positif terhadap suatu </w:t>
      </w:r>
      <w:r>
        <w:rPr>
          <w:rFonts w:ascii="Arial" w:cs="Arial" w:hAnsi="Arial"/>
          <w:color w:val="000000"/>
          <w:sz w:val="24"/>
          <w:szCs w:val="24"/>
        </w:rPr>
        <w:t>pe</w:t>
      </w:r>
      <w:r>
        <w:rPr>
          <w:rFonts w:ascii="Arial" w:cs="Arial" w:hAnsi="Arial"/>
          <w:color w:val="000000"/>
          <w:sz w:val="24"/>
          <w:szCs w:val="24"/>
          <w:lang w:val="id-ID"/>
        </w:rPr>
        <w:t>layanan</w:t>
      </w:r>
      <w:r>
        <w:rPr>
          <w:rFonts w:ascii="Arial" w:cs="Arial" w:hAnsi="Arial"/>
          <w:color w:val="000000"/>
          <w:sz w:val="24"/>
          <w:szCs w:val="24"/>
          <w:lang w:val="sv-SE"/>
        </w:rPr>
        <w:t xml:space="preserve"> yang dilakukan.  Dengan demikian aspek eksternalitas dapat bersifat positif (memberikan suatu dampak perubahan yang berarti bagi anggota organisasi) dan dapat juga bersifat negatif (memberikan suatu kerugian bagi anggota organisasi yang secara langsung atau tidak langsung dirasakan). </w:t>
      </w:r>
    </w:p>
    <w:p>
      <w:pPr>
        <w:pStyle w:val="style0"/>
        <w:autoSpaceDE w:val="false"/>
        <w:autoSpaceDN w:val="false"/>
        <w:adjustRightInd w:val="false"/>
        <w:ind w:left="426"/>
        <w:jc w:val="both"/>
        <w:rPr>
          <w:rFonts w:ascii="Arial" w:cs="Arial" w:hAnsi="Arial"/>
          <w:color w:val="000000"/>
          <w:sz w:val="24"/>
          <w:szCs w:val="24"/>
        </w:rPr>
      </w:pPr>
      <w:r>
        <w:rPr>
          <w:rFonts w:ascii="Arial" w:cs="Arial" w:hAnsi="Arial"/>
          <w:color w:val="000000"/>
          <w:sz w:val="24"/>
          <w:szCs w:val="24"/>
        </w:rPr>
        <w:t>Evaluation assists sensemaking about policies and programs through the conduct of systematic inquiry that describes and explains the policies’ and programs’ operations, effect, justifications, and social implications.  The ultimate goal of evaluation is social betterment, to which evaluation can contribute by assisting democratic institutio</w:t>
      </w:r>
      <w:r>
        <w:rPr>
          <w:rFonts w:ascii="Arial" w:cs="Arial" w:hAnsi="Arial"/>
          <w:color w:val="000000"/>
          <w:sz w:val="24"/>
          <w:szCs w:val="24"/>
          <w:lang w:val="id-ID"/>
        </w:rPr>
        <w:t>n</w:t>
      </w:r>
      <w:r>
        <w:rPr>
          <w:rFonts w:ascii="Arial" w:cs="Arial" w:hAnsi="Arial"/>
          <w:color w:val="000000"/>
          <w:sz w:val="24"/>
          <w:szCs w:val="24"/>
        </w:rPr>
        <w:t>s to better select, oversee, improve, and make sense of social programs and policies</w:t>
      </w:r>
      <w:r>
        <w:rPr>
          <w:rFonts w:ascii="Arial" w:cs="Arial" w:hAnsi="Arial"/>
          <w:color w:val="000000"/>
          <w:sz w:val="24"/>
          <w:szCs w:val="24"/>
          <w:lang w:val="id-ID"/>
        </w:rPr>
        <w:t>.</w:t>
      </w:r>
      <w:r>
        <w:rPr>
          <w:rFonts w:ascii="Arial" w:cs="Arial" w:hAnsi="Arial"/>
          <w:color w:val="000000"/>
          <w:sz w:val="24"/>
          <w:szCs w:val="24"/>
          <w:vertAlign w:val="superscript"/>
          <w:lang w:val="sv-SE"/>
        </w:rPr>
        <w:footnoteReference w:id="26"/>
      </w:r>
      <w:r>
        <w:rPr>
          <w:rFonts w:ascii="Arial" w:cs="Arial" w:hAnsi="Arial"/>
          <w:color w:val="000000"/>
          <w:sz w:val="24"/>
          <w:szCs w:val="24"/>
        </w:rPr>
        <w:t xml:space="preserve"> </w:t>
      </w:r>
    </w:p>
    <w:p>
      <w:pPr>
        <w:pStyle w:val="style0"/>
        <w:ind w:firstLine="720"/>
        <w:jc w:val="both"/>
        <w:rPr>
          <w:rFonts w:ascii="Arial" w:cs="Arial" w:hAnsi="Arial"/>
          <w:color w:val="000000"/>
          <w:sz w:val="24"/>
          <w:szCs w:val="24"/>
          <w:lang w:val="sv-SE"/>
        </w:rPr>
      </w:pPr>
      <w:r>
        <w:rPr>
          <w:rFonts w:ascii="Arial" w:cs="Arial" w:hAnsi="Arial"/>
          <w:color w:val="000000"/>
          <w:sz w:val="24"/>
          <w:szCs w:val="24"/>
        </w:rPr>
        <w:t xml:space="preserve">Evaluasi terhadap suatu implementasi pelayanan dengan melihat proses yang dijalankan, diharapkan menciptakan dan melahirkan suatu kebijakan baru yang tepat.  </w:t>
      </w:r>
      <w:r>
        <w:rPr>
          <w:rFonts w:ascii="Arial" w:cs="Arial" w:hAnsi="Arial"/>
          <w:color w:val="000000"/>
          <w:sz w:val="24"/>
          <w:szCs w:val="24"/>
          <w:lang w:val="sv-SE"/>
        </w:rPr>
        <w:t>Program-program hasil telaahannya berdasarkan suatu sistem yang menggambarkan dan menerangkan suatu kebijakan, program harus dapat dioperasionalkan.  Program juga harus menjelaskan suatu dampak lain atas suatu kebijakan yang diambil serta mengambil suatu dasar-dasar operasional yang benar dan terasa  pengaruhnya terhadap anggota organisasi dan masyarakat yang berhubungan dengan pengajuan p</w:t>
      </w:r>
      <w:r>
        <w:rPr>
          <w:rFonts w:ascii="Arial" w:cs="Arial" w:hAnsi="Arial"/>
          <w:color w:val="000000"/>
          <w:sz w:val="24"/>
          <w:szCs w:val="24"/>
          <w:lang w:val="id-ID"/>
        </w:rPr>
        <w:t>e</w:t>
      </w:r>
      <w:r>
        <w:rPr>
          <w:rFonts w:ascii="Arial" w:cs="Arial" w:hAnsi="Arial"/>
          <w:color w:val="000000"/>
          <w:sz w:val="24"/>
          <w:szCs w:val="24"/>
          <w:lang w:val="sv-SE"/>
        </w:rPr>
        <w:t>rkara kasasi di Mahkamah Agung.  Dengan demikian tujuan evaluasi yang berupa perbaikan-perbaikan untuk lebih maju dan berkembang dapat terlaksana dengan baik dan tidak mendapatkan suatu hambatan yang berat dilapangan.</w:t>
      </w:r>
    </w:p>
    <w:p>
      <w:pPr>
        <w:pStyle w:val="style0"/>
        <w:ind w:firstLine="720"/>
        <w:jc w:val="both"/>
        <w:rPr>
          <w:rFonts w:ascii="Arial" w:cs="Arial" w:hAnsi="Arial"/>
          <w:color w:val="000000"/>
          <w:sz w:val="24"/>
          <w:szCs w:val="24"/>
        </w:rPr>
      </w:pPr>
      <w:r>
        <w:rPr>
          <w:rFonts w:ascii="Arial" w:cs="Arial" w:hAnsi="Arial"/>
          <w:color w:val="000000"/>
          <w:sz w:val="24"/>
          <w:szCs w:val="24"/>
          <w:lang w:val="sv-SE"/>
        </w:rPr>
        <w:t xml:space="preserve"> </w:t>
      </w:r>
      <w:r>
        <w:rPr>
          <w:rFonts w:ascii="Arial" w:cs="Arial" w:hAnsi="Arial"/>
          <w:color w:val="000000"/>
          <w:sz w:val="24"/>
          <w:szCs w:val="24"/>
        </w:rPr>
        <w:t xml:space="preserve">Pendapat Scriven (1993), yang dikutip oleh Melvin, Gary dan george, menyatakan bahwa  alliteratively indentified the “Big Six” P’s that can be evaluated:  program, policies, products, personnel, performance, and proposals.  </w:t>
      </w:r>
    </w:p>
    <w:p>
      <w:pPr>
        <w:pStyle w:val="style0"/>
        <w:ind w:firstLine="720"/>
        <w:jc w:val="both"/>
        <w:rPr>
          <w:rFonts w:ascii="Arial" w:cs="Arial" w:hAnsi="Arial"/>
          <w:color w:val="000000"/>
          <w:sz w:val="24"/>
          <w:szCs w:val="24"/>
          <w:lang w:val="de-DE"/>
        </w:rPr>
      </w:pPr>
      <w:r>
        <w:rPr>
          <w:rFonts w:ascii="Arial" w:cs="Arial" w:hAnsi="Arial"/>
          <w:color w:val="000000"/>
          <w:sz w:val="24"/>
          <w:szCs w:val="24"/>
        </w:rPr>
        <w:t>Oleh karena itu hasil-hasil pe</w:t>
      </w:r>
      <w:r>
        <w:rPr>
          <w:rFonts w:ascii="Arial" w:cs="Arial" w:hAnsi="Arial"/>
          <w:color w:val="000000"/>
          <w:sz w:val="24"/>
          <w:szCs w:val="24"/>
          <w:lang w:val="id-ID"/>
        </w:rPr>
        <w:t>layanan</w:t>
      </w:r>
      <w:r>
        <w:rPr>
          <w:rFonts w:ascii="Arial" w:cs="Arial" w:hAnsi="Arial"/>
          <w:color w:val="000000"/>
          <w:sz w:val="24"/>
          <w:szCs w:val="24"/>
        </w:rPr>
        <w:t xml:space="preserve"> dapat memberikan sumbangan yang berarti dalam menyederhanakan dan mempercepat pelaksanaan pelayanan publik, khususnya dalam pengajuan perkara kasasi.  Kebijakan yang akan diambil tentang suatu kegiatan pe</w:t>
      </w:r>
      <w:r>
        <w:rPr>
          <w:rFonts w:ascii="Arial" w:cs="Arial" w:hAnsi="Arial"/>
          <w:color w:val="000000"/>
          <w:sz w:val="24"/>
          <w:szCs w:val="24"/>
          <w:lang w:val="id-ID"/>
        </w:rPr>
        <w:t>layanan</w:t>
      </w:r>
      <w:r>
        <w:rPr>
          <w:rFonts w:ascii="Arial" w:cs="Arial" w:hAnsi="Arial"/>
          <w:color w:val="000000"/>
          <w:sz w:val="24"/>
          <w:szCs w:val="24"/>
        </w:rPr>
        <w:t>, Produk yang berupa hasil keluaran dari organisasi, petugas yang berhubungan dengan pe</w:t>
      </w:r>
      <w:r>
        <w:rPr>
          <w:rFonts w:ascii="Arial" w:cs="Arial" w:hAnsi="Arial"/>
          <w:color w:val="000000"/>
          <w:sz w:val="24"/>
          <w:szCs w:val="24"/>
          <w:lang w:val="id-ID"/>
        </w:rPr>
        <w:t>layanan</w:t>
      </w:r>
      <w:r>
        <w:rPr>
          <w:rFonts w:ascii="Arial" w:cs="Arial" w:hAnsi="Arial"/>
          <w:color w:val="000000"/>
          <w:sz w:val="24"/>
          <w:szCs w:val="24"/>
        </w:rPr>
        <w:t xml:space="preserve">, Kinerja dalam </w:t>
      </w:r>
      <w:r>
        <w:rPr>
          <w:rFonts w:ascii="Arial" w:cs="Arial" w:hAnsi="Arial"/>
          <w:color w:val="000000"/>
          <w:sz w:val="24"/>
          <w:szCs w:val="24"/>
        </w:rPr>
        <w:t>melaksanakan tugas pe</w:t>
      </w:r>
      <w:r>
        <w:rPr>
          <w:rFonts w:ascii="Arial" w:cs="Arial" w:hAnsi="Arial"/>
          <w:color w:val="000000"/>
          <w:sz w:val="24"/>
          <w:szCs w:val="24"/>
          <w:lang w:val="id-ID"/>
        </w:rPr>
        <w:t>layanan</w:t>
      </w:r>
      <w:r>
        <w:rPr>
          <w:rFonts w:ascii="Arial" w:cs="Arial" w:hAnsi="Arial"/>
          <w:color w:val="000000"/>
          <w:sz w:val="24"/>
          <w:szCs w:val="24"/>
        </w:rPr>
        <w:t xml:space="preserve">.  </w:t>
      </w:r>
      <w:r>
        <w:rPr>
          <w:rFonts w:ascii="Arial" w:cs="Arial" w:hAnsi="Arial"/>
          <w:color w:val="000000"/>
          <w:sz w:val="24"/>
          <w:szCs w:val="24"/>
          <w:lang w:val="de-DE"/>
        </w:rPr>
        <w:t xml:space="preserve">Uraian-uraian tersebut diatas, Scriven menyebutnya sebagai </w:t>
      </w:r>
      <w:r>
        <w:rPr>
          <w:rFonts w:ascii="Arial" w:cs="Arial" w:hAnsi="Arial"/>
          <w:i/>
          <w:iCs/>
          <w:color w:val="000000"/>
          <w:sz w:val="24"/>
          <w:szCs w:val="24"/>
          <w:lang w:val="de-DE"/>
        </w:rPr>
        <w:t>trans-discipline</w:t>
      </w:r>
      <w:r>
        <w:rPr>
          <w:rFonts w:ascii="Arial" w:cs="Arial" w:hAnsi="Arial"/>
          <w:color w:val="000000"/>
          <w:sz w:val="24"/>
          <w:szCs w:val="24"/>
          <w:lang w:val="de-DE"/>
        </w:rPr>
        <w:t>, karena menggambarkan adanya suatu evaluasi dari suatu pekerjaan.</w:t>
      </w:r>
    </w:p>
    <w:p>
      <w:pPr>
        <w:pStyle w:val="style0"/>
        <w:ind w:firstLine="720"/>
        <w:jc w:val="both"/>
        <w:rPr>
          <w:rFonts w:ascii="Arial" w:cs="Arial" w:hAnsi="Arial"/>
          <w:color w:val="000000"/>
          <w:sz w:val="24"/>
          <w:szCs w:val="24"/>
          <w:lang w:val="de-DE"/>
        </w:rPr>
      </w:pPr>
      <w:r>
        <w:rPr>
          <w:rFonts w:ascii="Arial" w:cs="Arial" w:hAnsi="Arial"/>
          <w:color w:val="000000"/>
          <w:sz w:val="24"/>
          <w:szCs w:val="24"/>
          <w:lang w:val="de-DE"/>
        </w:rPr>
        <w:t>Pelaksanaan pekerjaan memerlukan suatu kerangka kerja (framework) untuk membantu merencanakan suatu evaluasi dengan memfasilitasi suatu kepentingan umum/organisasi dalam memajukan dan memperbaiki suatu kebijakan (policy betterment) berupa suatu bentuk-bentuk evaluasi yang terperinci.  Kerangka kerja dibedakan antara evaluation purposes (hasil dari suatu evaluasi) dan inquiry modes (penerapan suatu metode).</w:t>
      </w:r>
    </w:p>
    <w:p>
      <w:pPr>
        <w:pStyle w:val="style0"/>
        <w:ind w:firstLine="720"/>
        <w:rPr>
          <w:rFonts w:ascii="Arial" w:cs="Arial" w:hAnsi="Arial"/>
          <w:color w:val="000000"/>
          <w:sz w:val="24"/>
          <w:szCs w:val="24"/>
        </w:rPr>
      </w:pPr>
      <w:r>
        <w:rPr>
          <w:rFonts w:ascii="Arial" w:cs="Arial" w:hAnsi="Arial"/>
          <w:color w:val="000000"/>
          <w:sz w:val="24"/>
          <w:szCs w:val="24"/>
          <w:lang w:val="de-DE"/>
        </w:rPr>
        <w:t xml:space="preserve">   </w:t>
      </w:r>
      <w:r>
        <w:rPr>
          <w:rFonts w:ascii="Arial" w:cs="Arial" w:hAnsi="Arial"/>
          <w:color w:val="000000"/>
          <w:sz w:val="24"/>
          <w:szCs w:val="24"/>
        </w:rPr>
        <w:t xml:space="preserve">Menurut Melvin, Gary dan George terdapat empat tujuan evaluasi ialah :  </w:t>
      </w:r>
    </w:p>
    <w:p>
      <w:pPr>
        <w:pStyle w:val="style0"/>
        <w:numPr>
          <w:ilvl w:val="0"/>
          <w:numId w:val="18"/>
        </w:numPr>
        <w:tabs>
          <w:tab w:val="clear" w:pos="720"/>
        </w:tabs>
        <w:ind w:left="284" w:hanging="284"/>
        <w:jc w:val="both"/>
        <w:rPr>
          <w:rFonts w:ascii="Arial" w:cs="Arial" w:hAnsi="Arial"/>
          <w:color w:val="000000"/>
          <w:sz w:val="24"/>
          <w:szCs w:val="24"/>
        </w:rPr>
      </w:pPr>
      <w:r>
        <w:rPr>
          <w:rFonts w:ascii="Arial" w:cs="Arial" w:hAnsi="Arial"/>
          <w:color w:val="000000"/>
          <w:sz w:val="24"/>
          <w:szCs w:val="24"/>
        </w:rPr>
        <w:t>Assesment of merit and worth</w:t>
      </w:r>
      <w:r>
        <w:rPr>
          <w:rFonts w:ascii="Arial" w:cs="Arial" w:hAnsi="Arial"/>
          <w:color w:val="000000"/>
          <w:sz w:val="24"/>
          <w:szCs w:val="24"/>
          <w:lang w:val="id-ID"/>
        </w:rPr>
        <w:t xml:space="preserve">: </w:t>
      </w:r>
      <w:r>
        <w:rPr>
          <w:rFonts w:ascii="Arial" w:cs="Arial" w:hAnsi="Arial"/>
          <w:color w:val="000000"/>
          <w:sz w:val="24"/>
          <w:szCs w:val="24"/>
        </w:rPr>
        <w:t>Perlunya suatu pengembangan dari suatu keputusan kebijakan, pada tingkat individu dan tingkatan anggota organisasi atau masyarakat dalam suatu nilai-nilai kebijakan atau suatu program.</w:t>
      </w:r>
    </w:p>
    <w:p>
      <w:pPr>
        <w:pStyle w:val="style0"/>
        <w:tabs>
          <w:tab w:val="left" w:leader="none" w:pos="284"/>
        </w:tabs>
        <w:ind w:left="284" w:hanging="284"/>
        <w:jc w:val="both"/>
        <w:rPr>
          <w:rFonts w:ascii="Arial" w:cs="Arial" w:hAnsi="Arial"/>
          <w:color w:val="000000"/>
          <w:sz w:val="24"/>
          <w:szCs w:val="24"/>
        </w:rPr>
      </w:pPr>
      <w:r>
        <w:rPr>
          <w:rFonts w:ascii="Arial" w:cs="Arial" w:hAnsi="Arial"/>
          <w:color w:val="000000"/>
          <w:sz w:val="24"/>
          <w:szCs w:val="24"/>
        </w:rPr>
        <w:t>b. Program and organizational improvement</w:t>
      </w:r>
      <w:r>
        <w:rPr>
          <w:rFonts w:ascii="Arial" w:cs="Arial" w:hAnsi="Arial"/>
          <w:color w:val="000000"/>
          <w:sz w:val="24"/>
          <w:szCs w:val="24"/>
          <w:lang w:val="id-ID"/>
        </w:rPr>
        <w:t xml:space="preserve">: </w:t>
      </w:r>
      <w:r>
        <w:rPr>
          <w:rFonts w:ascii="Arial" w:cs="Arial" w:hAnsi="Arial"/>
          <w:color w:val="000000"/>
          <w:sz w:val="24"/>
          <w:szCs w:val="24"/>
        </w:rPr>
        <w:t>Adanya usaha-usaha untuk menggunakan informasi utuk mengadakan perubahan secara langsung dan meningkatkan program-program operasional.</w:t>
      </w:r>
    </w:p>
    <w:p>
      <w:pPr>
        <w:pStyle w:val="style0"/>
        <w:tabs>
          <w:tab w:val="left" w:leader="none" w:pos="284"/>
        </w:tabs>
        <w:ind w:left="284" w:hanging="284"/>
        <w:jc w:val="both"/>
        <w:rPr>
          <w:rFonts w:ascii="Arial" w:cs="Arial" w:hAnsi="Arial"/>
          <w:color w:val="000000"/>
          <w:sz w:val="24"/>
          <w:szCs w:val="24"/>
        </w:rPr>
      </w:pPr>
      <w:r>
        <w:rPr>
          <w:rFonts w:ascii="Arial" w:cs="Arial" w:hAnsi="Arial"/>
          <w:color w:val="000000"/>
          <w:sz w:val="24"/>
          <w:szCs w:val="24"/>
        </w:rPr>
        <w:t>c. Oversight and compliance</w:t>
      </w:r>
      <w:r>
        <w:rPr>
          <w:rFonts w:ascii="Arial" w:cs="Arial" w:hAnsi="Arial"/>
          <w:color w:val="000000"/>
          <w:sz w:val="24"/>
          <w:szCs w:val="24"/>
          <w:lang w:val="id-ID"/>
        </w:rPr>
        <w:t xml:space="preserve">: </w:t>
      </w:r>
      <w:r>
        <w:rPr>
          <w:rFonts w:ascii="Arial" w:cs="Arial" w:hAnsi="Arial"/>
          <w:color w:val="000000"/>
          <w:sz w:val="24"/>
          <w:szCs w:val="24"/>
        </w:rPr>
        <w:t>Memberikan suatu penilaian dan memperluas suatu program yang diikuti dengan suatu undang-undang, peraturan-peraturan, hukum, adanya standar pelaksanaan tugas atau harapan-harapan lainnya secara formal.</w:t>
      </w:r>
    </w:p>
    <w:p>
      <w:pPr>
        <w:pStyle w:val="style0"/>
        <w:tabs>
          <w:tab w:val="left" w:leader="none" w:pos="284"/>
        </w:tabs>
        <w:ind w:left="284" w:hanging="426"/>
        <w:jc w:val="both"/>
        <w:rPr>
          <w:rFonts w:ascii="Arial" w:cs="Arial" w:hAnsi="Arial"/>
          <w:color w:val="000000"/>
          <w:sz w:val="24"/>
          <w:szCs w:val="24"/>
        </w:rPr>
      </w:pPr>
      <w:r>
        <w:rPr>
          <w:rFonts w:ascii="Arial" w:cs="Arial" w:hAnsi="Arial"/>
          <w:color w:val="000000"/>
          <w:sz w:val="24"/>
          <w:szCs w:val="24"/>
        </w:rPr>
        <w:t>d. Knowledge development</w:t>
      </w:r>
      <w:r>
        <w:rPr>
          <w:rFonts w:ascii="Arial" w:cs="Arial" w:hAnsi="Arial"/>
          <w:color w:val="000000"/>
          <w:sz w:val="24"/>
          <w:szCs w:val="24"/>
          <w:lang w:val="id-ID"/>
        </w:rPr>
        <w:t xml:space="preserve">: </w:t>
      </w:r>
      <w:r>
        <w:rPr>
          <w:rFonts w:ascii="Arial" w:cs="Arial" w:hAnsi="Arial"/>
          <w:color w:val="000000"/>
          <w:sz w:val="24"/>
          <w:szCs w:val="24"/>
        </w:rPr>
        <w:t>Melakukan penemuan atau mencoba teori umum, perencanaan dan hipotesis dalam suatu konteks kebijakan dan program.  Hal ini membawa dampak kepada pengembangan pengetahuan.</w:t>
      </w:r>
      <w:r>
        <w:rPr>
          <w:rFonts w:ascii="Arial" w:cs="Arial" w:hAnsi="Arial"/>
          <w:color w:val="000000"/>
          <w:sz w:val="24"/>
          <w:szCs w:val="24"/>
          <w:vertAlign w:val="superscript"/>
          <w:lang w:val="sv-SE"/>
        </w:rPr>
        <w:footnoteReference w:id="27"/>
      </w:r>
    </w:p>
    <w:p>
      <w:pPr>
        <w:pStyle w:val="style0"/>
        <w:ind w:firstLine="720"/>
        <w:jc w:val="both"/>
        <w:rPr>
          <w:rFonts w:ascii="Arial" w:cs="Arial" w:hAnsi="Arial"/>
          <w:color w:val="000000"/>
          <w:sz w:val="24"/>
          <w:szCs w:val="24"/>
        </w:rPr>
      </w:pPr>
      <w:r>
        <w:rPr>
          <w:rFonts w:ascii="Arial" w:cs="Arial" w:hAnsi="Arial"/>
          <w:color w:val="000000"/>
          <w:sz w:val="24"/>
          <w:szCs w:val="24"/>
        </w:rPr>
        <w:t xml:space="preserve">Tujuan-tujuan dari evaluasi </w:t>
      </w:r>
      <w:r>
        <w:rPr>
          <w:rFonts w:ascii="Arial" w:cs="Arial" w:hAnsi="Arial"/>
          <w:color w:val="000000"/>
          <w:sz w:val="24"/>
          <w:szCs w:val="24"/>
          <w:lang w:val="id-ID"/>
        </w:rPr>
        <w:t>penyelesaian perkara</w:t>
      </w:r>
      <w:r>
        <w:rPr>
          <w:rFonts w:ascii="Arial" w:cs="Arial" w:hAnsi="Arial"/>
          <w:color w:val="000000"/>
          <w:sz w:val="24"/>
          <w:szCs w:val="24"/>
        </w:rPr>
        <w:t xml:space="preserve"> perlu secara seksama diarahkan dengan selalu memperhatikan penerapan suatu kebijakan.  Hal ini  memerlukan keseriusan dan keberlanjutan yang pasti dalam pelaksanaannya.  Kebijakan yang paling tepat dalam masalah ini adalah perubahan Peraturan Mahkamah Agung yang harus berfokus pada peraturan organisasi dan </w:t>
      </w:r>
      <w:r>
        <w:rPr>
          <w:rFonts w:ascii="Arial" w:cs="Arial" w:hAnsi="Arial"/>
          <w:color w:val="000000"/>
          <w:sz w:val="24"/>
          <w:szCs w:val="24"/>
        </w:rPr>
        <w:t>tata kerja Pengadilan Tingkat Pertama, Pengadilan Tingkat Tinggi dan Pengadilan Terakhir, bukan hanya pada organisasi dan tata kerja Kepaniteraan dan Kesekretariatan saja sebagaimana selama ini diberlakukan.</w:t>
      </w:r>
    </w:p>
    <w:p>
      <w:pPr>
        <w:pStyle w:val="style0"/>
        <w:ind w:firstLine="720"/>
        <w:jc w:val="both"/>
        <w:rPr>
          <w:rFonts w:ascii="Arial" w:cs="Arial" w:hAnsi="Arial"/>
          <w:color w:val="000000"/>
          <w:sz w:val="24"/>
          <w:szCs w:val="24"/>
        </w:rPr>
      </w:pPr>
      <w:r>
        <w:rPr>
          <w:rFonts w:ascii="Arial" w:cs="Arial" w:hAnsi="Arial"/>
          <w:color w:val="000000"/>
          <w:sz w:val="24"/>
          <w:szCs w:val="24"/>
        </w:rPr>
        <w:t xml:space="preserve">Metode untuk menjabarkan dan menguraikan suatu evaluasi terhadap praktek-praktek pelaksanaan program, menurut Melvin dkk. dapat dijelaskan dengan empat cara. </w:t>
      </w:r>
    </w:p>
    <w:p>
      <w:pPr>
        <w:pStyle w:val="style0"/>
        <w:tabs>
          <w:tab w:val="left" w:leader="none" w:pos="567"/>
        </w:tabs>
        <w:ind w:left="709" w:hanging="425"/>
        <w:jc w:val="both"/>
        <w:rPr>
          <w:rFonts w:ascii="Arial" w:cs="Arial" w:hAnsi="Arial"/>
          <w:color w:val="000000"/>
          <w:sz w:val="24"/>
          <w:szCs w:val="24"/>
        </w:rPr>
      </w:pPr>
      <w:r>
        <w:rPr>
          <w:rFonts w:ascii="Arial" w:cs="Arial" w:hAnsi="Arial"/>
          <w:color w:val="000000"/>
          <w:sz w:val="24"/>
          <w:szCs w:val="24"/>
        </w:rPr>
        <w:t>Four Inquiry Modes for Evaluation Practice :</w:t>
      </w:r>
    </w:p>
    <w:p>
      <w:pPr>
        <w:pStyle w:val="style0"/>
        <w:numPr>
          <w:ilvl w:val="0"/>
          <w:numId w:val="16"/>
        </w:numPr>
        <w:tabs>
          <w:tab w:val="clear" w:pos="720"/>
        </w:tabs>
        <w:ind w:left="709" w:hanging="425"/>
        <w:jc w:val="both"/>
        <w:rPr>
          <w:rFonts w:ascii="Arial" w:cs="Arial" w:hAnsi="Arial"/>
          <w:color w:val="000000"/>
          <w:sz w:val="24"/>
          <w:szCs w:val="24"/>
        </w:rPr>
      </w:pPr>
      <w:r>
        <w:rPr>
          <w:rFonts w:ascii="Arial" w:cs="Arial" w:hAnsi="Arial"/>
          <w:color w:val="000000"/>
          <w:sz w:val="24"/>
          <w:szCs w:val="24"/>
        </w:rPr>
        <w:t>Description : methods used to measure events or experiences, such as client characteristics, services delivered, resources, or client's standing on potential outcome variables.</w:t>
      </w:r>
    </w:p>
    <w:p>
      <w:pPr>
        <w:pStyle w:val="style0"/>
        <w:numPr>
          <w:ilvl w:val="0"/>
          <w:numId w:val="16"/>
        </w:numPr>
        <w:tabs>
          <w:tab w:val="clear" w:pos="720"/>
        </w:tabs>
        <w:ind w:left="709" w:hanging="425"/>
        <w:jc w:val="both"/>
        <w:rPr>
          <w:rFonts w:ascii="Arial" w:cs="Arial" w:hAnsi="Arial"/>
          <w:color w:val="000000"/>
          <w:sz w:val="24"/>
          <w:szCs w:val="24"/>
        </w:rPr>
      </w:pPr>
      <w:r>
        <w:rPr>
          <w:rFonts w:ascii="Arial" w:cs="Arial" w:hAnsi="Arial"/>
          <w:color w:val="000000"/>
          <w:sz w:val="24"/>
          <w:szCs w:val="24"/>
        </w:rPr>
        <w:t>Classification : methods used for grouping and for investigating the underlying structures of things, such as the development or application of a taxonomy of program sub types.</w:t>
      </w:r>
    </w:p>
    <w:p>
      <w:pPr>
        <w:pStyle w:val="style0"/>
        <w:numPr>
          <w:ilvl w:val="0"/>
          <w:numId w:val="16"/>
        </w:numPr>
        <w:tabs>
          <w:tab w:val="clear" w:pos="720"/>
        </w:tabs>
        <w:ind w:left="709" w:hanging="425"/>
        <w:jc w:val="both"/>
        <w:rPr>
          <w:rFonts w:ascii="Arial" w:cs="Arial" w:hAnsi="Arial"/>
          <w:color w:val="000000"/>
          <w:sz w:val="24"/>
          <w:szCs w:val="24"/>
        </w:rPr>
      </w:pPr>
      <w:r>
        <w:rPr>
          <w:rFonts w:ascii="Arial" w:cs="Arial" w:hAnsi="Arial"/>
          <w:color w:val="000000"/>
          <w:sz w:val="24"/>
          <w:szCs w:val="24"/>
        </w:rPr>
        <w:t>Causal analysis : methods used to explore and test causal relationships (between program services and client functioning, for example) or to study the mechanisms through which effects occur.</w:t>
      </w:r>
    </w:p>
    <w:p>
      <w:pPr>
        <w:pStyle w:val="style0"/>
        <w:numPr>
          <w:ilvl w:val="0"/>
          <w:numId w:val="16"/>
        </w:numPr>
        <w:tabs>
          <w:tab w:val="clear" w:pos="720"/>
        </w:tabs>
        <w:ind w:left="709" w:hanging="425"/>
        <w:jc w:val="both"/>
        <w:rPr>
          <w:rFonts w:ascii="Arial" w:cs="Arial" w:hAnsi="Arial"/>
          <w:color w:val="000000"/>
          <w:sz w:val="24"/>
          <w:szCs w:val="24"/>
        </w:rPr>
      </w:pPr>
      <w:r>
        <w:rPr>
          <w:rFonts w:ascii="Arial" w:cs="Arial" w:hAnsi="Arial"/>
          <w:color w:val="000000"/>
          <w:sz w:val="24"/>
          <w:szCs w:val="24"/>
        </w:rPr>
        <w:t>Values inquiry : methods used to model natural evaluation processes, assess existing values, or dissect value positions using formal or critical analysis</w:t>
      </w:r>
      <w:r>
        <w:rPr>
          <w:rFonts w:ascii="Arial" w:cs="Arial" w:hAnsi="Arial"/>
          <w:color w:val="000000"/>
          <w:sz w:val="24"/>
          <w:szCs w:val="24"/>
          <w:lang w:val="id-ID"/>
        </w:rPr>
        <w:t>.</w:t>
      </w:r>
      <w:r>
        <w:rPr>
          <w:rFonts w:ascii="Arial" w:cs="Arial" w:hAnsi="Arial"/>
          <w:color w:val="000000"/>
          <w:sz w:val="24"/>
          <w:szCs w:val="24"/>
          <w:vertAlign w:val="superscript"/>
          <w:lang w:val="sv-SE"/>
        </w:rPr>
        <w:footnoteReference w:id="28"/>
      </w:r>
      <w:r>
        <w:rPr>
          <w:rFonts w:ascii="Arial" w:cs="Arial" w:hAnsi="Arial"/>
          <w:color w:val="000000"/>
          <w:sz w:val="24"/>
          <w:szCs w:val="24"/>
        </w:rPr>
        <w:t xml:space="preserve">  </w:t>
      </w:r>
    </w:p>
    <w:p>
      <w:pPr>
        <w:pStyle w:val="style0"/>
        <w:ind w:firstLine="720"/>
        <w:jc w:val="both"/>
        <w:rPr>
          <w:rFonts w:ascii="Arial" w:cs="Arial" w:hAnsi="Arial"/>
          <w:color w:val="000000"/>
          <w:sz w:val="24"/>
          <w:szCs w:val="24"/>
        </w:rPr>
      </w:pPr>
      <w:r>
        <w:rPr>
          <w:rFonts w:ascii="Arial" w:cs="Arial" w:hAnsi="Arial"/>
          <w:color w:val="000000"/>
          <w:sz w:val="24"/>
          <w:szCs w:val="24"/>
        </w:rPr>
        <w:t>Terjemahan bebas atas penjabaran dan penguraian suatu evaluasi tersebut antara lain</w:t>
      </w:r>
      <w:r>
        <w:rPr>
          <w:rFonts w:ascii="Arial" w:cs="Arial" w:hAnsi="Arial"/>
          <w:color w:val="000000"/>
          <w:sz w:val="24"/>
          <w:szCs w:val="24"/>
          <w:lang w:val="id-ID"/>
        </w:rPr>
        <w:t>,</w:t>
      </w:r>
      <w:r>
        <w:rPr>
          <w:rFonts w:ascii="Arial" w:cs="Arial" w:hAnsi="Arial"/>
          <w:color w:val="000000"/>
          <w:sz w:val="24"/>
          <w:szCs w:val="24"/>
        </w:rPr>
        <w:t xml:space="preserve">  </w:t>
      </w:r>
      <w:r>
        <w:rPr>
          <w:rFonts w:ascii="Arial" w:cs="Arial" w:hAnsi="Arial"/>
          <w:color w:val="000000"/>
          <w:sz w:val="24"/>
          <w:szCs w:val="24"/>
          <w:lang w:val="id-ID"/>
        </w:rPr>
        <w:t>e</w:t>
      </w:r>
      <w:r>
        <w:rPr>
          <w:rFonts w:ascii="Arial" w:cs="Arial" w:hAnsi="Arial"/>
          <w:color w:val="000000"/>
          <w:sz w:val="24"/>
          <w:szCs w:val="24"/>
        </w:rPr>
        <w:t xml:space="preserve">mpat </w:t>
      </w:r>
      <w:r>
        <w:rPr>
          <w:rFonts w:ascii="Arial" w:cs="Arial" w:hAnsi="Arial"/>
          <w:color w:val="000000"/>
          <w:sz w:val="24"/>
          <w:szCs w:val="24"/>
          <w:lang w:val="id-ID"/>
        </w:rPr>
        <w:t>p</w:t>
      </w:r>
      <w:r>
        <w:rPr>
          <w:rFonts w:ascii="Arial" w:cs="Arial" w:hAnsi="Arial"/>
          <w:color w:val="000000"/>
          <w:sz w:val="24"/>
          <w:szCs w:val="24"/>
        </w:rPr>
        <w:t xml:space="preserve">ernyataan </w:t>
      </w:r>
      <w:r>
        <w:rPr>
          <w:rFonts w:ascii="Arial" w:cs="Arial" w:hAnsi="Arial"/>
          <w:color w:val="000000"/>
          <w:sz w:val="24"/>
          <w:szCs w:val="24"/>
          <w:lang w:val="id-ID"/>
        </w:rPr>
        <w:t>m</w:t>
      </w:r>
      <w:r>
        <w:rPr>
          <w:rFonts w:ascii="Arial" w:cs="Arial" w:hAnsi="Arial"/>
          <w:color w:val="000000"/>
          <w:sz w:val="24"/>
          <w:szCs w:val="24"/>
        </w:rPr>
        <w:t>ode</w:t>
      </w:r>
      <w:r>
        <w:rPr>
          <w:rFonts w:ascii="Arial" w:cs="Arial" w:hAnsi="Arial"/>
          <w:color w:val="000000"/>
          <w:sz w:val="24"/>
          <w:szCs w:val="24"/>
          <w:lang w:val="id-ID"/>
        </w:rPr>
        <w:t>l</w:t>
      </w:r>
      <w:r>
        <w:rPr>
          <w:rFonts w:ascii="Arial" w:cs="Arial" w:hAnsi="Arial"/>
          <w:color w:val="000000"/>
          <w:sz w:val="24"/>
          <w:szCs w:val="24"/>
        </w:rPr>
        <w:t xml:space="preserve"> untuk </w:t>
      </w:r>
      <w:r>
        <w:rPr>
          <w:rFonts w:ascii="Arial" w:cs="Arial" w:hAnsi="Arial"/>
          <w:color w:val="000000"/>
          <w:sz w:val="24"/>
          <w:szCs w:val="24"/>
          <w:lang w:val="id-ID"/>
        </w:rPr>
        <w:t>p</w:t>
      </w:r>
      <w:r>
        <w:rPr>
          <w:rFonts w:ascii="Arial" w:cs="Arial" w:hAnsi="Arial"/>
          <w:color w:val="000000"/>
          <w:sz w:val="24"/>
          <w:szCs w:val="24"/>
        </w:rPr>
        <w:t xml:space="preserve">raktek </w:t>
      </w:r>
      <w:r>
        <w:rPr>
          <w:rFonts w:ascii="Arial" w:cs="Arial" w:hAnsi="Arial"/>
          <w:color w:val="000000"/>
          <w:sz w:val="24"/>
          <w:szCs w:val="24"/>
          <w:lang w:val="id-ID"/>
        </w:rPr>
        <w:t>e</w:t>
      </w:r>
      <w:r>
        <w:rPr>
          <w:rFonts w:ascii="Arial" w:cs="Arial" w:hAnsi="Arial"/>
          <w:color w:val="000000"/>
          <w:sz w:val="24"/>
          <w:szCs w:val="24"/>
        </w:rPr>
        <w:t xml:space="preserve">valuasi: </w:t>
      </w:r>
    </w:p>
    <w:p>
      <w:pPr>
        <w:pStyle w:val="style0"/>
        <w:numPr>
          <w:ilvl w:val="0"/>
          <w:numId w:val="17"/>
        </w:numPr>
        <w:tabs>
          <w:tab w:val="left" w:leader="none" w:pos="284"/>
        </w:tabs>
        <w:ind w:left="284" w:hanging="284"/>
        <w:jc w:val="both"/>
        <w:rPr>
          <w:rFonts w:ascii="Arial" w:cs="Arial" w:hAnsi="Arial"/>
          <w:color w:val="000000"/>
          <w:sz w:val="24"/>
          <w:szCs w:val="24"/>
        </w:rPr>
      </w:pPr>
      <w:r>
        <w:rPr>
          <w:rFonts w:ascii="Arial" w:cs="Arial" w:hAnsi="Arial"/>
          <w:color w:val="000000"/>
          <w:sz w:val="24"/>
          <w:szCs w:val="24"/>
        </w:rPr>
        <w:t>Deskripsi: Metode yang digunakan untuk mengukur peristiwa atau pengalaman, seperti karakteristik klien, pelayanan yang diberikan, sumber daya, atau berdiri di klien pada variabel hasil potensial.</w:t>
      </w:r>
    </w:p>
    <w:p>
      <w:pPr>
        <w:pStyle w:val="style0"/>
        <w:numPr>
          <w:ilvl w:val="0"/>
          <w:numId w:val="17"/>
        </w:numPr>
        <w:tabs>
          <w:tab w:val="left" w:leader="none" w:pos="284"/>
        </w:tabs>
        <w:ind w:left="284" w:hanging="284"/>
        <w:jc w:val="both"/>
        <w:rPr>
          <w:rFonts w:ascii="Arial" w:cs="Arial" w:hAnsi="Arial"/>
          <w:color w:val="000000"/>
          <w:sz w:val="24"/>
          <w:szCs w:val="24"/>
        </w:rPr>
      </w:pPr>
      <w:r>
        <w:rPr>
          <w:rFonts w:ascii="Arial" w:cs="Arial" w:hAnsi="Arial"/>
          <w:color w:val="000000"/>
          <w:sz w:val="24"/>
          <w:szCs w:val="24"/>
        </w:rPr>
        <w:t xml:space="preserve"> Klasifikasi: metode yang digunakan untuk mengelompokkan dan untuk menyelidiki struktur yang mendasari sesuatu hal, seperti pembangunan atau aplikasi dari sebuah taksonomi sub program jenis.</w:t>
      </w:r>
    </w:p>
    <w:p>
      <w:pPr>
        <w:pStyle w:val="style0"/>
        <w:numPr>
          <w:ilvl w:val="0"/>
          <w:numId w:val="17"/>
        </w:numPr>
        <w:tabs>
          <w:tab w:val="left" w:leader="none" w:pos="284"/>
        </w:tabs>
        <w:ind w:left="284" w:hanging="284"/>
        <w:jc w:val="both"/>
        <w:rPr>
          <w:rFonts w:ascii="Arial" w:cs="Arial" w:hAnsi="Arial"/>
          <w:color w:val="000000"/>
          <w:sz w:val="24"/>
          <w:szCs w:val="24"/>
        </w:rPr>
      </w:pPr>
      <w:r>
        <w:rPr>
          <w:rFonts w:ascii="Arial" w:cs="Arial" w:hAnsi="Arial"/>
          <w:color w:val="000000"/>
          <w:sz w:val="24"/>
          <w:szCs w:val="24"/>
        </w:rPr>
        <w:t xml:space="preserve">Analisis kausal: Metode yang digunakan untuk mengeksplorasi dan uji hubungan </w:t>
      </w:r>
      <w:r>
        <w:rPr>
          <w:rFonts w:ascii="Arial" w:cs="Arial" w:hAnsi="Arial"/>
          <w:color w:val="000000"/>
          <w:sz w:val="24"/>
          <w:szCs w:val="24"/>
        </w:rPr>
        <w:t>kausal (layanan program antara klien dan berfungsi, misalnya) atau untuk mempelajari mekanisme melalui mana efek tersebut muncul.</w:t>
      </w:r>
    </w:p>
    <w:p>
      <w:pPr>
        <w:pStyle w:val="style0"/>
        <w:numPr>
          <w:ilvl w:val="0"/>
          <w:numId w:val="17"/>
        </w:numPr>
        <w:tabs>
          <w:tab w:val="left" w:leader="none" w:pos="284"/>
        </w:tabs>
        <w:ind w:left="284" w:hanging="284"/>
        <w:jc w:val="both"/>
        <w:rPr>
          <w:rFonts w:ascii="Arial" w:cs="Arial" w:hAnsi="Arial"/>
          <w:color w:val="000000"/>
          <w:sz w:val="24"/>
          <w:szCs w:val="24"/>
        </w:rPr>
      </w:pPr>
      <w:r>
        <w:rPr>
          <w:rFonts w:ascii="Arial" w:cs="Arial" w:hAnsi="Arial"/>
          <w:color w:val="000000"/>
          <w:sz w:val="24"/>
          <w:szCs w:val="24"/>
        </w:rPr>
        <w:t xml:space="preserve">Nilai pertanyaan: metode yang digunakan untuk model proses penilaian alam, mengkaji nilai-nilai yang ada, atau posisi nilai membedah menggunakan formal atau analisis kritis. </w:t>
      </w:r>
    </w:p>
    <w:p>
      <w:pPr>
        <w:pStyle w:val="style0"/>
        <w:ind w:right="420"/>
        <w:jc w:val="both"/>
        <w:rPr>
          <w:rFonts w:ascii="Arial" w:cs="Arial" w:eastAsia="Calibri" w:hAnsi="Arial"/>
          <w:color w:val="000000"/>
          <w:sz w:val="24"/>
          <w:szCs w:val="24"/>
          <w:lang w:val="id-ID"/>
        </w:rPr>
      </w:pPr>
    </w:p>
    <w:p>
      <w:pPr>
        <w:pStyle w:val="style0"/>
        <w:spacing w:after="200"/>
        <w:ind w:right="420"/>
        <w:jc w:val="both"/>
        <w:rPr>
          <w:rFonts w:ascii="Arial" w:cs="Arial" w:eastAsia="Calibri" w:hAnsi="Arial"/>
          <w:b/>
          <w:color w:val="000000"/>
          <w:sz w:val="24"/>
          <w:szCs w:val="24"/>
        </w:rPr>
      </w:pPr>
      <w:r>
        <w:rPr>
          <w:rFonts w:ascii="Arial" w:cs="Arial" w:eastAsia="Calibri" w:hAnsi="Arial"/>
          <w:b/>
          <w:color w:val="000000"/>
          <w:sz w:val="24"/>
          <w:szCs w:val="24"/>
        </w:rPr>
        <w:t>E</w:t>
      </w:r>
      <w:r>
        <w:rPr>
          <w:rFonts w:ascii="Arial" w:cs="Arial" w:eastAsia="Calibri" w:hAnsi="Arial"/>
          <w:b/>
          <w:color w:val="000000"/>
          <w:sz w:val="24"/>
          <w:szCs w:val="24"/>
          <w:lang w:val="id-ID"/>
        </w:rPr>
        <w:t>lemen</w:t>
      </w:r>
      <w:r>
        <w:rPr>
          <w:rFonts w:ascii="Arial" w:cs="Arial" w:eastAsia="Calibri" w:hAnsi="Arial"/>
          <w:b/>
          <w:color w:val="000000"/>
          <w:sz w:val="24"/>
          <w:szCs w:val="24"/>
        </w:rPr>
        <w:t xml:space="preserve"> </w:t>
      </w:r>
      <w:r>
        <w:rPr>
          <w:rFonts w:ascii="Arial" w:cs="Arial" w:eastAsia="Calibri" w:hAnsi="Arial"/>
          <w:b/>
          <w:color w:val="000000"/>
          <w:sz w:val="24"/>
          <w:szCs w:val="24"/>
          <w:lang w:val="id-ID"/>
        </w:rPr>
        <w:t xml:space="preserve">Pembentuk </w:t>
      </w:r>
      <w:r>
        <w:rPr>
          <w:rFonts w:ascii="Arial" w:cs="Arial" w:eastAsia="Calibri" w:hAnsi="Arial"/>
          <w:b/>
          <w:color w:val="000000"/>
          <w:sz w:val="24"/>
          <w:szCs w:val="24"/>
        </w:rPr>
        <w:t>S</w:t>
      </w:r>
      <w:r>
        <w:rPr>
          <w:rFonts w:ascii="Arial" w:cs="Arial" w:eastAsia="Calibri" w:hAnsi="Arial"/>
          <w:b/>
          <w:color w:val="000000"/>
          <w:sz w:val="24"/>
          <w:szCs w:val="24"/>
          <w:lang w:val="id-ID"/>
        </w:rPr>
        <w:t>istem Dalam Perkara Kasasi</w:t>
      </w:r>
    </w:p>
    <w:p>
      <w:pPr>
        <w:pStyle w:val="style0"/>
        <w:ind w:firstLine="720"/>
        <w:jc w:val="both"/>
        <w:rPr>
          <w:rFonts w:ascii="Arial" w:cs="Arial" w:eastAsia="Calibri" w:hAnsi="Arial"/>
          <w:color w:val="000000"/>
          <w:sz w:val="24"/>
          <w:szCs w:val="24"/>
          <w:lang w:val="id-ID"/>
        </w:rPr>
      </w:pPr>
      <w:r>
        <w:rPr>
          <w:rFonts w:ascii="Arial" w:cs="Arial" w:eastAsia="Calibri" w:hAnsi="Arial"/>
          <w:color w:val="000000"/>
          <w:sz w:val="24"/>
          <w:szCs w:val="24"/>
        </w:rPr>
        <w:t>Ada beberapa elemen yang membentuk sebuah sistem, yaitu : tujuan, masukan, proses, keluaran, batas, mekanisme pengendalian dan umpan balik serta lingkungan</w:t>
      </w:r>
      <w:r>
        <w:rPr>
          <w:rFonts w:ascii="Arial" w:cs="Arial" w:eastAsia="Calibri" w:hAnsi="Arial"/>
          <w:color w:val="000000"/>
          <w:sz w:val="24"/>
          <w:szCs w:val="24"/>
          <w:lang w:val="id-ID"/>
        </w:rPr>
        <w:t>.</w:t>
      </w:r>
      <w:r>
        <w:rPr>
          <w:rFonts w:ascii="Arial" w:cs="Arial" w:hAnsi="Arial"/>
          <w:color w:val="000000"/>
          <w:sz w:val="24"/>
          <w:szCs w:val="24"/>
          <w:vertAlign w:val="superscript"/>
          <w:lang w:val="sv-SE"/>
        </w:rPr>
        <w:footnoteReference w:id="29"/>
      </w:r>
      <w:r>
        <w:rPr>
          <w:rFonts w:ascii="Arial" w:cs="Arial" w:eastAsia="Calibri" w:hAnsi="Arial"/>
          <w:color w:val="000000"/>
          <w:sz w:val="24"/>
          <w:szCs w:val="24"/>
        </w:rPr>
        <w:t xml:space="preserve"> </w:t>
      </w:r>
    </w:p>
    <w:p>
      <w:pPr>
        <w:pStyle w:val="style0"/>
        <w:jc w:val="both"/>
        <w:rPr>
          <w:rFonts w:ascii="Arial" w:cs="Arial" w:eastAsia="Calibri" w:hAnsi="Arial"/>
          <w:color w:val="000000"/>
          <w:sz w:val="24"/>
          <w:szCs w:val="24"/>
          <w:lang w:val="id-ID"/>
        </w:rPr>
      </w:pPr>
      <w:r>
        <w:rPr>
          <w:rFonts w:ascii="Arial" w:cs="Arial" w:eastAsia="Calibri" w:hAnsi="Arial"/>
          <w:color w:val="000000"/>
          <w:sz w:val="24"/>
          <w:szCs w:val="24"/>
          <w:lang w:val="id-ID"/>
        </w:rPr>
        <w:tab/>
      </w:r>
      <w:r>
        <w:rPr>
          <w:rFonts w:ascii="Arial" w:cs="Arial" w:eastAsia="Calibri" w:hAnsi="Arial"/>
          <w:color w:val="000000"/>
          <w:sz w:val="24"/>
          <w:szCs w:val="24"/>
          <w:lang w:val="id-ID"/>
        </w:rPr>
        <w:t>Penyelenggaraan penyelesaian perkara untuk pelayanan publik, tentunya harus disesuaikan dengan prinsip-prinsip yang sudah diamanahkan dalam peraturan perundangan, yakni sederhana, cepat dan biaya ringan.  Tujuan pelaksanaan tersebut satu diantaranya adalah masyarakat dapat dengan mudah memperoleh kepastian hukum dengan tidak mengeluarkan biaya yang sangat besar yang belum jelas secara resmi peruntukkannya.  Dengan demikian masyarakat lebih termotivasi untuk menyelesaikan perkara dengan menempuh jalur hukum.</w:t>
      </w:r>
    </w:p>
    <w:p>
      <w:pPr>
        <w:pStyle w:val="style0"/>
        <w:jc w:val="both"/>
        <w:rPr>
          <w:rFonts w:ascii="Arial" w:cs="Arial" w:eastAsia="Calibri" w:hAnsi="Arial"/>
          <w:color w:val="000000"/>
          <w:sz w:val="24"/>
          <w:szCs w:val="24"/>
          <w:lang w:val="id-ID"/>
        </w:rPr>
      </w:pPr>
      <w:r>
        <w:rPr>
          <w:rFonts w:ascii="Arial" w:cs="Arial" w:eastAsia="Calibri" w:hAnsi="Arial"/>
          <w:color w:val="000000"/>
          <w:sz w:val="24"/>
          <w:szCs w:val="24"/>
          <w:lang w:val="id-ID"/>
        </w:rPr>
        <w:tab/>
      </w:r>
      <w:r>
        <w:rPr>
          <w:rFonts w:ascii="Arial" w:cs="Arial" w:eastAsia="Calibri" w:hAnsi="Arial"/>
          <w:color w:val="000000"/>
          <w:sz w:val="24"/>
          <w:szCs w:val="24"/>
          <w:lang w:val="id-ID"/>
        </w:rPr>
        <w:t xml:space="preserve">Masukan dalam perkara kasasi yang harus diselesaikan MA adalah pengajuan perkara kasasi yang disampaikan oleh instansi pengaju, yakni Pengadilan dan Kejaksaan. Masukan tersebut berupa berkas-berkas yang dipersyaratkan yang saat ini telah menggunakan </w:t>
      </w:r>
      <w:r>
        <w:rPr>
          <w:rFonts w:ascii="Arial" w:cs="Arial" w:eastAsia="Calibri" w:hAnsi="Arial"/>
          <w:i/>
          <w:color w:val="000000"/>
          <w:sz w:val="24"/>
          <w:szCs w:val="24"/>
          <w:lang w:val="id-ID"/>
        </w:rPr>
        <w:t>soft copy</w:t>
      </w:r>
      <w:r>
        <w:rPr>
          <w:rFonts w:ascii="Arial" w:cs="Arial" w:eastAsia="Calibri" w:hAnsi="Arial"/>
          <w:color w:val="000000"/>
          <w:sz w:val="24"/>
          <w:szCs w:val="24"/>
          <w:lang w:val="id-ID"/>
        </w:rPr>
        <w:t xml:space="preserve"> dalam pemberkasannya.</w:t>
      </w:r>
    </w:p>
    <w:p>
      <w:pPr>
        <w:pStyle w:val="style0"/>
        <w:ind w:firstLine="720"/>
        <w:jc w:val="both"/>
        <w:rPr>
          <w:rFonts w:ascii="Arial" w:cs="Arial" w:eastAsia="Calibri" w:hAnsi="Arial"/>
          <w:color w:val="000000"/>
          <w:sz w:val="24"/>
          <w:szCs w:val="24"/>
          <w:lang w:val="id-ID"/>
        </w:rPr>
      </w:pPr>
      <w:r>
        <w:rPr>
          <w:rFonts w:ascii="Arial" w:cs="Arial" w:eastAsia="Calibri" w:hAnsi="Arial"/>
          <w:color w:val="000000"/>
          <w:sz w:val="24"/>
          <w:szCs w:val="24"/>
        </w:rPr>
        <w:t xml:space="preserve">Proses merupakan bagian </w:t>
      </w:r>
      <w:r>
        <w:rPr>
          <w:rFonts w:ascii="Arial" w:cs="Arial" w:eastAsia="Calibri" w:hAnsi="Arial"/>
          <w:color w:val="000000"/>
          <w:sz w:val="24"/>
          <w:szCs w:val="24"/>
          <w:lang w:val="id-ID"/>
        </w:rPr>
        <w:t>penting untuk</w:t>
      </w:r>
      <w:r>
        <w:rPr>
          <w:rFonts w:ascii="Arial" w:cs="Arial" w:eastAsia="Calibri" w:hAnsi="Arial"/>
          <w:color w:val="000000"/>
          <w:sz w:val="24"/>
          <w:szCs w:val="24"/>
        </w:rPr>
        <w:t xml:space="preserve"> melakukan perubahan atau transformasi dari masukan menjadi keluaran yang berguna dan lebih bernilai,</w:t>
      </w:r>
      <w:r>
        <w:rPr>
          <w:rFonts w:ascii="Arial" w:cs="Arial" w:eastAsia="Calibri" w:hAnsi="Arial"/>
          <w:color w:val="000000"/>
          <w:sz w:val="24"/>
          <w:szCs w:val="24"/>
          <w:lang w:val="id-ID"/>
        </w:rPr>
        <w:t xml:space="preserve"> lebih mudah dipahami dan sesuai dengan peraturan perundangan yang berlaku, </w:t>
      </w:r>
      <w:r>
        <w:rPr>
          <w:rFonts w:ascii="Arial" w:cs="Arial" w:eastAsia="Calibri" w:hAnsi="Arial"/>
          <w:color w:val="000000"/>
          <w:sz w:val="24"/>
          <w:szCs w:val="24"/>
        </w:rPr>
        <w:t xml:space="preserve"> berupa </w:t>
      </w:r>
      <w:r>
        <w:rPr>
          <w:rFonts w:ascii="Arial" w:cs="Arial" w:eastAsia="Calibri" w:hAnsi="Arial"/>
          <w:color w:val="000000"/>
          <w:sz w:val="24"/>
          <w:szCs w:val="24"/>
          <w:lang w:val="id-ID"/>
        </w:rPr>
        <w:t>putusan yang lebih ringkas dan sederhana</w:t>
      </w:r>
      <w:r>
        <w:rPr>
          <w:rFonts w:ascii="Arial" w:cs="Arial" w:eastAsia="Calibri" w:hAnsi="Arial"/>
          <w:color w:val="000000"/>
          <w:sz w:val="24"/>
          <w:szCs w:val="24"/>
        </w:rPr>
        <w:t xml:space="preserve">, </w:t>
      </w:r>
      <w:r>
        <w:rPr>
          <w:rFonts w:ascii="Arial" w:cs="Arial" w:eastAsia="Calibri" w:hAnsi="Arial"/>
          <w:color w:val="000000"/>
          <w:sz w:val="24"/>
          <w:szCs w:val="24"/>
          <w:lang w:val="id-ID"/>
        </w:rPr>
        <w:t xml:space="preserve">dengan aktivitas yang tidak terlalu menyita waktu dalam proses penelaahan dan dan proses minutasinya, karena lebih terfokus pada </w:t>
      </w:r>
      <w:r>
        <w:rPr>
          <w:rFonts w:ascii="Arial" w:cs="Arial" w:eastAsia="Calibri" w:hAnsi="Arial"/>
          <w:i/>
          <w:color w:val="000000"/>
          <w:sz w:val="24"/>
          <w:szCs w:val="24"/>
          <w:lang w:val="id-ID"/>
        </w:rPr>
        <w:t>Judex Juris</w:t>
      </w:r>
      <w:r>
        <w:rPr>
          <w:rFonts w:ascii="Arial" w:cs="Arial" w:eastAsia="Calibri" w:hAnsi="Arial"/>
          <w:color w:val="000000"/>
          <w:sz w:val="24"/>
          <w:szCs w:val="24"/>
          <w:lang w:val="id-ID"/>
        </w:rPr>
        <w:t>.</w:t>
      </w:r>
    </w:p>
    <w:p>
      <w:pPr>
        <w:pStyle w:val="style0"/>
        <w:ind w:firstLine="720"/>
        <w:jc w:val="both"/>
        <w:rPr>
          <w:rFonts w:ascii="Arial" w:cs="Arial" w:eastAsia="Calibri" w:hAnsi="Arial"/>
          <w:color w:val="000000"/>
          <w:sz w:val="24"/>
          <w:szCs w:val="24"/>
          <w:lang w:val="id-ID"/>
        </w:rPr>
      </w:pPr>
      <w:r>
        <w:rPr>
          <w:rFonts w:ascii="Arial" w:cs="Arial" w:eastAsia="Calibri" w:hAnsi="Arial"/>
          <w:color w:val="000000"/>
          <w:sz w:val="24"/>
          <w:szCs w:val="24"/>
          <w:lang w:val="id-ID"/>
        </w:rPr>
        <w:t xml:space="preserve">Hasil keluaran pada penyelesaian kasasi berupa </w:t>
      </w:r>
      <w:r>
        <w:rPr>
          <w:rFonts w:ascii="Arial" w:cs="Arial" w:eastAsia="Calibri" w:hAnsi="Arial"/>
          <w:i/>
          <w:color w:val="000000"/>
          <w:sz w:val="24"/>
          <w:szCs w:val="24"/>
          <w:lang w:val="id-ID"/>
        </w:rPr>
        <w:t>Judex Juris</w:t>
      </w:r>
      <w:r>
        <w:rPr>
          <w:rFonts w:ascii="Arial" w:cs="Arial" w:eastAsia="Calibri" w:hAnsi="Arial"/>
          <w:color w:val="000000"/>
          <w:sz w:val="24"/>
          <w:szCs w:val="24"/>
          <w:lang w:val="id-ID"/>
        </w:rPr>
        <w:t xml:space="preserve"> (kewenangan memeriksa penerapan hukum dan putusan pengadian negeri, pengadilan tinggi terhadap perkara tertentu dan tidak memeriksa fakta-fakta bukti yang berhubungan dengan perkaranya). Hal ini lebih mempercepat perolehan hasilnya, karena tidak memerlukan berkas yang jumlahnya banyak, karena pada tahap pengajuanpun berkas sudah dipersiapkan termasuk hasil telaahan yang sudah dipersiapkan setelah pengajuan kasasi masuk ke MA.  Hasil putusanpun dapat dengan segera diunnggah dan diunduh pada situs kepaniteraan secara cepat.</w:t>
      </w:r>
    </w:p>
    <w:p>
      <w:pPr>
        <w:pStyle w:val="style0"/>
        <w:ind w:firstLine="720"/>
        <w:jc w:val="both"/>
        <w:rPr>
          <w:rFonts w:ascii="Arial" w:cs="Arial" w:eastAsia="Calibri" w:hAnsi="Arial"/>
          <w:color w:val="000000"/>
          <w:sz w:val="24"/>
          <w:szCs w:val="24"/>
        </w:rPr>
      </w:pPr>
      <w:r>
        <w:rPr>
          <w:rFonts w:ascii="Arial" w:cs="Arial" w:eastAsia="Calibri" w:hAnsi="Arial"/>
          <w:color w:val="000000"/>
          <w:sz w:val="24"/>
          <w:szCs w:val="24"/>
        </w:rPr>
        <w:t>Batas sistem menentukan konfigurasi, ruang lingkup, atau kemampuan sistem.</w:t>
      </w:r>
      <w:r>
        <w:rPr>
          <w:rFonts w:ascii="Arial" w:cs="Arial" w:eastAsia="Calibri" w:hAnsi="Arial"/>
          <w:color w:val="000000"/>
          <w:sz w:val="24"/>
          <w:szCs w:val="24"/>
          <w:lang w:val="id-ID"/>
        </w:rPr>
        <w:t xml:space="preserve">  Untuk mencapai dan memenuhi penyelesaian perkara yang sederhana, cepat dan biaya ringan dapat melibatkan pihak akademisi, peneliti hukum dan masyarakat luas untuk suatu telahaan yuridisnya dengan tetap memperhatikan kerahasiaan dokumen sebelum terjadi putusan.  Disamping beban telaahan dapat berkurang juga beban waktu yang akan lebih cepat dari waktu yang sudah ditentukan sebelumnya.  Sedangkan berkas perkara yang memuat pertimbangan </w:t>
      </w:r>
      <w:r>
        <w:rPr>
          <w:rFonts w:ascii="Arial" w:cs="Arial" w:eastAsia="Calibri" w:hAnsi="Arial"/>
          <w:i/>
          <w:color w:val="000000"/>
          <w:sz w:val="24"/>
          <w:szCs w:val="24"/>
          <w:lang w:val="id-ID"/>
        </w:rPr>
        <w:t>Judex Factie</w:t>
      </w:r>
      <w:r>
        <w:rPr>
          <w:rFonts w:ascii="Arial" w:cs="Arial" w:eastAsia="Calibri" w:hAnsi="Arial"/>
          <w:color w:val="000000"/>
          <w:sz w:val="24"/>
          <w:szCs w:val="24"/>
          <w:lang w:val="id-ID"/>
        </w:rPr>
        <w:t xml:space="preserve"> hanya sebagai lampiran saja.</w:t>
      </w:r>
      <w:r>
        <w:rPr>
          <w:rFonts w:ascii="Arial" w:cs="Arial" w:eastAsia="Calibri" w:hAnsi="Arial"/>
          <w:color w:val="000000"/>
          <w:sz w:val="24"/>
          <w:szCs w:val="24"/>
        </w:rPr>
        <w:t xml:space="preserve"> </w:t>
      </w:r>
    </w:p>
    <w:p>
      <w:pPr>
        <w:pStyle w:val="style0"/>
        <w:ind w:firstLine="720"/>
        <w:jc w:val="both"/>
        <w:rPr>
          <w:rFonts w:ascii="Arial" w:cs="Arial" w:eastAsia="Calibri" w:hAnsi="Arial"/>
          <w:color w:val="000000"/>
          <w:sz w:val="24"/>
          <w:szCs w:val="24"/>
        </w:rPr>
      </w:pPr>
      <w:r>
        <w:rPr>
          <w:rFonts w:ascii="Arial" w:cs="Arial" w:eastAsia="Calibri" w:hAnsi="Arial"/>
          <w:color w:val="000000"/>
          <w:sz w:val="24"/>
          <w:szCs w:val="24"/>
        </w:rPr>
        <w:t xml:space="preserve">Mekanisme pengendalian (control mechanism) dengan </w:t>
      </w:r>
      <w:r>
        <w:rPr>
          <w:rFonts w:ascii="Arial" w:cs="Arial" w:eastAsia="Calibri" w:hAnsi="Arial"/>
          <w:color w:val="000000"/>
          <w:sz w:val="24"/>
          <w:szCs w:val="24"/>
          <w:lang w:val="id-ID"/>
        </w:rPr>
        <w:t xml:space="preserve">cara </w:t>
      </w:r>
      <w:r>
        <w:rPr>
          <w:rFonts w:ascii="Arial" w:cs="Arial" w:eastAsia="Calibri" w:hAnsi="Arial"/>
          <w:color w:val="000000"/>
          <w:sz w:val="24"/>
          <w:szCs w:val="24"/>
        </w:rPr>
        <w:t xml:space="preserve">menggunakan umpan balik (feedback), yang mencuplik </w:t>
      </w:r>
      <w:r>
        <w:rPr>
          <w:rFonts w:ascii="Arial" w:cs="Arial" w:eastAsia="Calibri" w:hAnsi="Arial"/>
          <w:color w:val="000000"/>
          <w:sz w:val="24"/>
          <w:szCs w:val="24"/>
          <w:lang w:val="id-ID"/>
        </w:rPr>
        <w:t xml:space="preserve">hasil </w:t>
      </w:r>
      <w:r>
        <w:rPr>
          <w:rFonts w:ascii="Arial" w:cs="Arial" w:eastAsia="Calibri" w:hAnsi="Arial"/>
          <w:color w:val="000000"/>
          <w:sz w:val="24"/>
          <w:szCs w:val="24"/>
        </w:rPr>
        <w:t>keluaran</w:t>
      </w:r>
      <w:r>
        <w:rPr>
          <w:rFonts w:ascii="Arial" w:cs="Arial" w:eastAsia="Calibri" w:hAnsi="Arial"/>
          <w:color w:val="000000"/>
          <w:sz w:val="24"/>
          <w:szCs w:val="24"/>
          <w:lang w:val="id-ID"/>
        </w:rPr>
        <w:t xml:space="preserve"> yang telah diterbitkan dari hasil putusan</w:t>
      </w:r>
      <w:r>
        <w:rPr>
          <w:rFonts w:ascii="Arial" w:cs="Arial" w:eastAsia="Calibri" w:hAnsi="Arial"/>
          <w:color w:val="000000"/>
          <w:sz w:val="24"/>
          <w:szCs w:val="24"/>
        </w:rPr>
        <w:t>. Umpan balik ini digunakan untuk mengendalikan baik masukan maupun proses. Tujuannya adalah untuk mengatur agar sistem berjalan sesuai dengan tujuan.</w:t>
      </w:r>
    </w:p>
    <w:p>
      <w:pPr>
        <w:pStyle w:val="style0"/>
        <w:ind w:firstLine="720"/>
        <w:jc w:val="both"/>
        <w:rPr>
          <w:rFonts w:ascii="Arial" w:cs="Arial" w:eastAsia="Calibri" w:hAnsi="Arial"/>
          <w:color w:val="000000"/>
          <w:sz w:val="24"/>
          <w:szCs w:val="24"/>
          <w:lang w:val="id-ID"/>
        </w:rPr>
      </w:pPr>
      <w:r>
        <w:rPr>
          <w:rFonts w:ascii="Arial" w:cs="Arial" w:eastAsia="Calibri" w:hAnsi="Arial"/>
          <w:color w:val="000000"/>
          <w:sz w:val="24"/>
          <w:szCs w:val="24"/>
        </w:rPr>
        <w:t xml:space="preserve">Lingkungan </w:t>
      </w:r>
      <w:r>
        <w:rPr>
          <w:rFonts w:ascii="Arial" w:cs="Arial" w:eastAsia="Calibri" w:hAnsi="Arial"/>
          <w:color w:val="000000"/>
          <w:sz w:val="24"/>
          <w:szCs w:val="24"/>
          <w:lang w:val="id-ID"/>
        </w:rPr>
        <w:t>merupakan</w:t>
      </w:r>
      <w:r>
        <w:rPr>
          <w:rFonts w:ascii="Arial" w:cs="Arial" w:eastAsia="Calibri" w:hAnsi="Arial"/>
          <w:color w:val="000000"/>
          <w:sz w:val="24"/>
          <w:szCs w:val="24"/>
        </w:rPr>
        <w:t xml:space="preserve"> sesuatu yang berada di luar s</w:t>
      </w:r>
      <w:r>
        <w:rPr>
          <w:rFonts w:ascii="Arial" w:cs="Arial" w:eastAsia="Calibri" w:hAnsi="Arial"/>
          <w:color w:val="000000"/>
          <w:sz w:val="24"/>
          <w:szCs w:val="24"/>
          <w:lang w:val="id-ID"/>
        </w:rPr>
        <w:t>i</w:t>
      </w:r>
      <w:r>
        <w:rPr>
          <w:rFonts w:ascii="Arial" w:cs="Arial" w:eastAsia="Calibri" w:hAnsi="Arial"/>
          <w:color w:val="000000"/>
          <w:sz w:val="24"/>
          <w:szCs w:val="24"/>
        </w:rPr>
        <w:t>stem</w:t>
      </w:r>
      <w:r>
        <w:rPr>
          <w:rFonts w:ascii="Arial" w:cs="Arial" w:eastAsia="Calibri" w:hAnsi="Arial"/>
          <w:color w:val="000000"/>
          <w:sz w:val="24"/>
          <w:szCs w:val="24"/>
          <w:lang w:val="id-ID"/>
        </w:rPr>
        <w:t xml:space="preserve"> yang</w:t>
      </w:r>
      <w:r>
        <w:rPr>
          <w:rFonts w:ascii="Arial" w:cs="Arial" w:eastAsia="Calibri" w:hAnsi="Arial"/>
          <w:color w:val="000000"/>
          <w:sz w:val="24"/>
          <w:szCs w:val="24"/>
        </w:rPr>
        <w:t xml:space="preserve"> </w:t>
      </w:r>
      <w:r>
        <w:rPr>
          <w:rFonts w:ascii="Arial" w:cs="Arial" w:eastAsia="Calibri" w:hAnsi="Arial"/>
          <w:color w:val="000000"/>
          <w:sz w:val="24"/>
          <w:szCs w:val="24"/>
          <w:lang w:val="id-ID"/>
        </w:rPr>
        <w:t>dapat</w:t>
      </w:r>
      <w:r>
        <w:rPr>
          <w:rFonts w:ascii="Arial" w:cs="Arial" w:eastAsia="Calibri" w:hAnsi="Arial"/>
          <w:color w:val="000000"/>
          <w:sz w:val="24"/>
          <w:szCs w:val="24"/>
        </w:rPr>
        <w:t xml:space="preserve"> </w:t>
      </w:r>
      <w:r>
        <w:rPr>
          <w:rFonts w:ascii="Arial" w:cs="Arial" w:eastAsia="Calibri" w:hAnsi="Arial"/>
          <w:color w:val="000000"/>
          <w:sz w:val="24"/>
          <w:szCs w:val="24"/>
          <w:lang w:val="id-ID"/>
        </w:rPr>
        <w:t>mempengaruhi</w:t>
      </w:r>
      <w:r>
        <w:rPr>
          <w:rFonts w:ascii="Arial" w:cs="Arial" w:eastAsia="Calibri" w:hAnsi="Arial"/>
          <w:color w:val="000000"/>
          <w:sz w:val="24"/>
          <w:szCs w:val="24"/>
        </w:rPr>
        <w:t xml:space="preserve"> operasi s</w:t>
      </w:r>
      <w:r>
        <w:rPr>
          <w:rFonts w:ascii="Arial" w:cs="Arial" w:eastAsia="Calibri" w:hAnsi="Arial"/>
          <w:color w:val="000000"/>
          <w:sz w:val="24"/>
          <w:szCs w:val="24"/>
          <w:lang w:val="id-ID"/>
        </w:rPr>
        <w:t>i</w:t>
      </w:r>
      <w:r>
        <w:rPr>
          <w:rFonts w:ascii="Arial" w:cs="Arial" w:eastAsia="Calibri" w:hAnsi="Arial"/>
          <w:color w:val="000000"/>
          <w:sz w:val="24"/>
          <w:szCs w:val="24"/>
        </w:rPr>
        <w:t>stem</w:t>
      </w:r>
      <w:r>
        <w:rPr>
          <w:rFonts w:ascii="Arial" w:cs="Arial" w:eastAsia="Calibri" w:hAnsi="Arial"/>
          <w:color w:val="000000"/>
          <w:sz w:val="24"/>
          <w:szCs w:val="24"/>
          <w:lang w:val="id-ID"/>
        </w:rPr>
        <w:t xml:space="preserve">.  Pengaruh tersebut dapat saja </w:t>
      </w:r>
      <w:r>
        <w:rPr>
          <w:rFonts w:ascii="Arial" w:cs="Arial" w:eastAsia="Calibri" w:hAnsi="Arial"/>
          <w:color w:val="000000"/>
          <w:sz w:val="24"/>
          <w:szCs w:val="24"/>
        </w:rPr>
        <w:t>merugikan atau menguntungkan sistem itu sendiri. Lingkungan yang</w:t>
      </w:r>
      <w:r>
        <w:rPr>
          <w:rFonts w:ascii="Arial" w:cs="Arial" w:eastAsia="Calibri" w:hAnsi="Arial"/>
          <w:color w:val="000000"/>
          <w:sz w:val="24"/>
          <w:szCs w:val="24"/>
          <w:lang w:val="id-ID"/>
        </w:rPr>
        <w:t xml:space="preserve"> masuk kategori</w:t>
      </w:r>
      <w:r>
        <w:rPr>
          <w:rFonts w:ascii="Arial" w:cs="Arial" w:eastAsia="Calibri" w:hAnsi="Arial"/>
          <w:color w:val="000000"/>
          <w:sz w:val="24"/>
          <w:szCs w:val="24"/>
        </w:rPr>
        <w:t xml:space="preserve"> merugikan</w:t>
      </w:r>
      <w:r>
        <w:rPr>
          <w:rFonts w:ascii="Arial" w:cs="Arial" w:eastAsia="Calibri" w:hAnsi="Arial"/>
          <w:color w:val="000000"/>
          <w:sz w:val="24"/>
          <w:szCs w:val="24"/>
          <w:lang w:val="id-ID"/>
        </w:rPr>
        <w:t xml:space="preserve">, </w:t>
      </w:r>
      <w:r>
        <w:rPr>
          <w:rFonts w:ascii="Arial" w:cs="Arial" w:eastAsia="Calibri" w:hAnsi="Arial"/>
          <w:color w:val="000000"/>
          <w:sz w:val="24"/>
          <w:szCs w:val="24"/>
        </w:rPr>
        <w:t>harus ditahan dan dikendalikan supaya tidak mengganggu kelangsungan operasi sistem, sedangkan yang menguntungkan  harus terus</w:t>
      </w:r>
      <w:r>
        <w:rPr>
          <w:rFonts w:ascii="Arial" w:cs="Arial" w:eastAsia="Calibri" w:hAnsi="Arial"/>
          <w:color w:val="000000"/>
          <w:sz w:val="24"/>
          <w:szCs w:val="24"/>
          <w:lang w:val="id-ID"/>
        </w:rPr>
        <w:t xml:space="preserve">-menerus </w:t>
      </w:r>
      <w:r>
        <w:rPr>
          <w:rFonts w:ascii="Arial" w:cs="Arial" w:eastAsia="Calibri" w:hAnsi="Arial"/>
          <w:color w:val="000000"/>
          <w:sz w:val="24"/>
          <w:szCs w:val="24"/>
        </w:rPr>
        <w:t>dijaga,</w:t>
      </w:r>
      <w:r>
        <w:rPr>
          <w:rFonts w:ascii="Arial" w:cs="Arial" w:eastAsia="Calibri" w:hAnsi="Arial"/>
          <w:color w:val="000000"/>
          <w:sz w:val="24"/>
          <w:szCs w:val="24"/>
          <w:lang w:val="id-ID"/>
        </w:rPr>
        <w:t xml:space="preserve"> </w:t>
      </w:r>
      <w:r>
        <w:rPr>
          <w:rFonts w:ascii="Arial" w:cs="Arial" w:eastAsia="Calibri" w:hAnsi="Arial"/>
          <w:color w:val="000000"/>
          <w:sz w:val="24"/>
          <w:szCs w:val="24"/>
        </w:rPr>
        <w:t xml:space="preserve">karena akan </w:t>
      </w:r>
      <w:r>
        <w:rPr>
          <w:rFonts w:ascii="Arial" w:cs="Arial" w:eastAsia="Calibri" w:hAnsi="Arial"/>
          <w:color w:val="000000"/>
          <w:sz w:val="24"/>
          <w:szCs w:val="24"/>
          <w:lang w:val="id-ID"/>
        </w:rPr>
        <w:t>mendorong dan meningkatkan</w:t>
      </w:r>
      <w:r>
        <w:rPr>
          <w:rFonts w:ascii="Arial" w:cs="Arial" w:eastAsia="Calibri" w:hAnsi="Arial"/>
          <w:color w:val="000000"/>
          <w:sz w:val="24"/>
          <w:szCs w:val="24"/>
        </w:rPr>
        <w:t xml:space="preserve"> kelangsungan hidup sistem.</w:t>
      </w:r>
      <w:r>
        <w:rPr>
          <w:rFonts w:ascii="Arial" w:cs="Arial" w:hAnsi="Arial"/>
          <w:sz w:val="22"/>
          <w:szCs w:val="22"/>
          <w:lang w:val="id-ID"/>
        </w:rPr>
        <w:t xml:space="preserve">  </w:t>
      </w:r>
      <w:r>
        <w:rPr>
          <w:rFonts w:ascii="Arial" w:cs="Arial" w:hAnsi="Arial"/>
          <w:sz w:val="24"/>
          <w:szCs w:val="24"/>
          <w:lang w:val="id-ID"/>
        </w:rPr>
        <w:t xml:space="preserve">Lingkungan tersebut diantaranya beberapa kalangan, individu, kelompok atau organisasi yang mempengaruhi hasil </w:t>
      </w:r>
      <w:r>
        <w:rPr>
          <w:rFonts w:ascii="Arial" w:cs="Arial" w:hAnsi="Arial"/>
          <w:sz w:val="24"/>
          <w:szCs w:val="24"/>
          <w:lang w:val="id-ID"/>
        </w:rPr>
        <w:t>putusan yang tidak sesuai dengan kaidah yang dibenarkan.</w:t>
      </w:r>
    </w:p>
    <w:p>
      <w:pPr>
        <w:pStyle w:val="style0"/>
        <w:jc w:val="center"/>
        <w:rPr>
          <w:rFonts w:ascii="Arial" w:cs="Arial" w:hAnsi="Arial"/>
          <w:b/>
          <w:color w:val="000000"/>
          <w:sz w:val="24"/>
          <w:szCs w:val="24"/>
          <w:lang w:val="id-ID"/>
        </w:rPr>
      </w:pPr>
    </w:p>
    <w:p>
      <w:pPr>
        <w:pStyle w:val="style0"/>
        <w:jc w:val="center"/>
        <w:rPr>
          <w:rFonts w:ascii="Arial" w:cs="Arial" w:hAnsi="Arial"/>
          <w:b/>
          <w:color w:val="000000"/>
          <w:sz w:val="24"/>
          <w:szCs w:val="24"/>
          <w:lang w:val="id-ID"/>
        </w:rPr>
      </w:pPr>
      <w:r>
        <w:rPr>
          <w:rFonts w:ascii="Arial" w:cs="Arial" w:hAnsi="Arial"/>
          <w:b/>
          <w:color w:val="000000"/>
          <w:sz w:val="24"/>
          <w:szCs w:val="24"/>
        </w:rPr>
        <w:t>P</w:t>
      </w:r>
      <w:r>
        <w:rPr>
          <w:rFonts w:ascii="Arial" w:cs="Arial" w:hAnsi="Arial"/>
          <w:b/>
          <w:color w:val="000000"/>
          <w:sz w:val="24"/>
          <w:szCs w:val="24"/>
          <w:lang w:val="id-ID"/>
        </w:rPr>
        <w:t xml:space="preserve"> </w:t>
      </w:r>
      <w:r>
        <w:rPr>
          <w:rFonts w:ascii="Arial" w:cs="Arial" w:hAnsi="Arial"/>
          <w:b/>
          <w:color w:val="000000"/>
          <w:sz w:val="24"/>
          <w:szCs w:val="24"/>
        </w:rPr>
        <w:t>E</w:t>
      </w:r>
      <w:r>
        <w:rPr>
          <w:rFonts w:ascii="Arial" w:cs="Arial" w:hAnsi="Arial"/>
          <w:b/>
          <w:color w:val="000000"/>
          <w:sz w:val="24"/>
          <w:szCs w:val="24"/>
          <w:lang w:val="id-ID"/>
        </w:rPr>
        <w:t xml:space="preserve"> </w:t>
      </w:r>
      <w:r>
        <w:rPr>
          <w:rFonts w:ascii="Arial" w:cs="Arial" w:hAnsi="Arial"/>
          <w:b/>
          <w:color w:val="000000"/>
          <w:sz w:val="24"/>
          <w:szCs w:val="24"/>
        </w:rPr>
        <w:t>N</w:t>
      </w:r>
      <w:r>
        <w:rPr>
          <w:rFonts w:ascii="Arial" w:cs="Arial" w:hAnsi="Arial"/>
          <w:b/>
          <w:color w:val="000000"/>
          <w:sz w:val="24"/>
          <w:szCs w:val="24"/>
          <w:lang w:val="id-ID"/>
        </w:rPr>
        <w:t xml:space="preserve"> </w:t>
      </w:r>
      <w:r>
        <w:rPr>
          <w:rFonts w:ascii="Arial" w:cs="Arial" w:hAnsi="Arial"/>
          <w:b/>
          <w:color w:val="000000"/>
          <w:sz w:val="24"/>
          <w:szCs w:val="24"/>
        </w:rPr>
        <w:t>U</w:t>
      </w:r>
      <w:r>
        <w:rPr>
          <w:rFonts w:ascii="Arial" w:cs="Arial" w:hAnsi="Arial"/>
          <w:b/>
          <w:color w:val="000000"/>
          <w:sz w:val="24"/>
          <w:szCs w:val="24"/>
          <w:lang w:val="id-ID"/>
        </w:rPr>
        <w:t xml:space="preserve"> </w:t>
      </w:r>
      <w:r>
        <w:rPr>
          <w:rFonts w:ascii="Arial" w:cs="Arial" w:hAnsi="Arial"/>
          <w:b/>
          <w:color w:val="000000"/>
          <w:sz w:val="24"/>
          <w:szCs w:val="24"/>
        </w:rPr>
        <w:t>T</w:t>
      </w:r>
      <w:r>
        <w:rPr>
          <w:rFonts w:ascii="Arial" w:cs="Arial" w:hAnsi="Arial"/>
          <w:b/>
          <w:color w:val="000000"/>
          <w:sz w:val="24"/>
          <w:szCs w:val="24"/>
          <w:lang w:val="id-ID"/>
        </w:rPr>
        <w:t xml:space="preserve"> </w:t>
      </w:r>
      <w:r>
        <w:rPr>
          <w:rFonts w:ascii="Arial" w:cs="Arial" w:hAnsi="Arial"/>
          <w:b/>
          <w:color w:val="000000"/>
          <w:sz w:val="24"/>
          <w:szCs w:val="24"/>
        </w:rPr>
        <w:t>U</w:t>
      </w:r>
      <w:r>
        <w:rPr>
          <w:rFonts w:ascii="Arial" w:cs="Arial" w:hAnsi="Arial"/>
          <w:b/>
          <w:color w:val="000000"/>
          <w:sz w:val="24"/>
          <w:szCs w:val="24"/>
          <w:lang w:val="id-ID"/>
        </w:rPr>
        <w:t xml:space="preserve"> </w:t>
      </w:r>
      <w:r>
        <w:rPr>
          <w:rFonts w:ascii="Arial" w:cs="Arial" w:hAnsi="Arial"/>
          <w:b/>
          <w:color w:val="000000"/>
          <w:sz w:val="24"/>
          <w:szCs w:val="24"/>
        </w:rPr>
        <w:t>P</w:t>
      </w:r>
    </w:p>
    <w:p>
      <w:pPr>
        <w:pStyle w:val="style0"/>
        <w:jc w:val="center"/>
        <w:rPr>
          <w:rFonts w:ascii="Arial" w:cs="Arial" w:hAnsi="Arial"/>
          <w:b/>
          <w:color w:val="000000"/>
          <w:sz w:val="24"/>
          <w:szCs w:val="24"/>
        </w:rPr>
      </w:pPr>
    </w:p>
    <w:p>
      <w:pPr>
        <w:pStyle w:val="style0"/>
        <w:spacing w:after="200"/>
        <w:jc w:val="both"/>
        <w:rPr>
          <w:rFonts w:ascii="Arial" w:cs="Arial" w:hAnsi="Arial"/>
          <w:b/>
          <w:color w:val="000000"/>
          <w:sz w:val="24"/>
          <w:szCs w:val="24"/>
          <w:lang w:val="id-ID"/>
        </w:rPr>
      </w:pPr>
      <w:r>
        <w:rPr>
          <w:rFonts w:ascii="Arial" w:cs="Arial" w:hAnsi="Arial"/>
          <w:b/>
          <w:color w:val="000000"/>
          <w:sz w:val="24"/>
          <w:szCs w:val="24"/>
        </w:rPr>
        <w:t>Kesimpulan</w:t>
      </w:r>
    </w:p>
    <w:p>
      <w:pPr>
        <w:pStyle w:val="style0"/>
        <w:ind w:firstLine="720"/>
        <w:jc w:val="both"/>
        <w:rPr>
          <w:rFonts w:ascii="Arial" w:cs="Arial" w:hAnsi="Arial"/>
          <w:color w:val="000000"/>
          <w:sz w:val="24"/>
          <w:szCs w:val="24"/>
          <w:lang w:val="id-ID"/>
        </w:rPr>
      </w:pPr>
      <w:r>
        <w:rPr>
          <w:rFonts w:ascii="Arial" w:cs="Arial" w:hAnsi="Arial"/>
          <w:color w:val="000000"/>
          <w:sz w:val="24"/>
          <w:szCs w:val="24"/>
        </w:rPr>
        <w:t>T</w:t>
      </w:r>
      <w:r>
        <w:rPr>
          <w:rFonts w:ascii="Arial" w:cs="Arial" w:hAnsi="Arial"/>
          <w:color w:val="000000"/>
          <w:sz w:val="24"/>
          <w:szCs w:val="24"/>
          <w:lang w:val="id-ID"/>
        </w:rPr>
        <w:t>ugas</w:t>
      </w:r>
      <w:r>
        <w:rPr>
          <w:rFonts w:ascii="Arial" w:cs="Arial" w:hAnsi="Arial"/>
          <w:color w:val="000000"/>
          <w:sz w:val="24"/>
          <w:szCs w:val="24"/>
        </w:rPr>
        <w:t>,</w:t>
      </w:r>
      <w:r>
        <w:rPr>
          <w:rFonts w:ascii="Arial" w:cs="Arial" w:hAnsi="Arial"/>
          <w:color w:val="000000"/>
          <w:sz w:val="24"/>
          <w:szCs w:val="24"/>
          <w:lang w:val="id-ID"/>
        </w:rPr>
        <w:t xml:space="preserve"> fungsi</w:t>
      </w:r>
      <w:r>
        <w:rPr>
          <w:rFonts w:ascii="Arial" w:cs="Arial" w:hAnsi="Arial"/>
          <w:color w:val="000000"/>
          <w:sz w:val="24"/>
          <w:szCs w:val="24"/>
        </w:rPr>
        <w:t xml:space="preserve"> dan wewenang</w:t>
      </w:r>
      <w:r>
        <w:rPr>
          <w:rFonts w:ascii="Arial" w:cs="Arial" w:hAnsi="Arial"/>
          <w:color w:val="000000"/>
          <w:sz w:val="24"/>
          <w:szCs w:val="24"/>
          <w:lang w:val="id-ID"/>
        </w:rPr>
        <w:t xml:space="preserve"> organisasi</w:t>
      </w:r>
      <w:r>
        <w:rPr>
          <w:rFonts w:ascii="Arial" w:cs="Arial" w:hAnsi="Arial"/>
          <w:color w:val="000000"/>
          <w:sz w:val="24"/>
          <w:szCs w:val="24"/>
        </w:rPr>
        <w:t xml:space="preserve"> Mahkamah Agung sebagai Pengadilan Terakhir dalam  upaya hukum  warga negara</w:t>
      </w:r>
      <w:r>
        <w:rPr>
          <w:rFonts w:ascii="Arial" w:cs="Arial" w:hAnsi="Arial"/>
          <w:color w:val="000000"/>
          <w:sz w:val="24"/>
          <w:szCs w:val="24"/>
          <w:lang w:val="id-ID"/>
        </w:rPr>
        <w:t xml:space="preserve"> d</w:t>
      </w:r>
      <w:r>
        <w:rPr>
          <w:rFonts w:ascii="Arial" w:cs="Arial" w:hAnsi="Arial"/>
          <w:color w:val="000000"/>
          <w:sz w:val="24"/>
          <w:szCs w:val="24"/>
        </w:rPr>
        <w:t xml:space="preserve">engan </w:t>
      </w:r>
      <w:r>
        <w:rPr>
          <w:rFonts w:ascii="Arial" w:cs="Arial" w:hAnsi="Arial"/>
          <w:color w:val="000000"/>
          <w:sz w:val="24"/>
          <w:szCs w:val="24"/>
          <w:lang w:val="id-ID"/>
        </w:rPr>
        <w:t xml:space="preserve">tujuan </w:t>
      </w:r>
      <w:r>
        <w:rPr>
          <w:rFonts w:ascii="Arial" w:cs="Arial" w:hAnsi="Arial"/>
          <w:color w:val="000000"/>
          <w:sz w:val="24"/>
          <w:szCs w:val="24"/>
        </w:rPr>
        <w:t>dan</w:t>
      </w:r>
      <w:r>
        <w:rPr>
          <w:rFonts w:ascii="Arial" w:cs="Arial" w:hAnsi="Arial"/>
          <w:color w:val="000000"/>
          <w:sz w:val="24"/>
          <w:szCs w:val="24"/>
          <w:lang w:val="id-ID"/>
        </w:rPr>
        <w:t xml:space="preserve"> sasaran yang jelas, bersifat menyeluruh, berfungsi diagnostik dan</w:t>
      </w:r>
      <w:r>
        <w:rPr>
          <w:rFonts w:ascii="Arial" w:cs="Arial" w:hAnsi="Arial"/>
          <w:color w:val="000000"/>
          <w:sz w:val="24"/>
          <w:szCs w:val="24"/>
        </w:rPr>
        <w:t xml:space="preserve"> </w:t>
      </w:r>
      <w:r>
        <w:rPr>
          <w:rFonts w:ascii="Arial" w:cs="Arial" w:hAnsi="Arial"/>
          <w:color w:val="000000"/>
          <w:sz w:val="24"/>
          <w:szCs w:val="24"/>
          <w:lang w:val="id-ID"/>
        </w:rPr>
        <w:t>terintegrasi</w:t>
      </w:r>
      <w:r>
        <w:rPr>
          <w:rFonts w:ascii="Arial" w:cs="Arial" w:hAnsi="Arial"/>
          <w:color w:val="000000"/>
          <w:sz w:val="24"/>
          <w:szCs w:val="24"/>
        </w:rPr>
        <w:t xml:space="preserve"> belum secara maksimal terlaksana mengingat </w:t>
      </w:r>
      <w:r>
        <w:rPr>
          <w:rFonts w:ascii="Arial" w:cs="Arial" w:hAnsi="Arial"/>
          <w:color w:val="000000"/>
          <w:sz w:val="24"/>
          <w:szCs w:val="24"/>
          <w:lang w:val="id-ID"/>
        </w:rPr>
        <w:t xml:space="preserve">susunan organisasinya masih dalam proses penyesuaian sesuai </w:t>
      </w:r>
      <w:r>
        <w:rPr>
          <w:rFonts w:ascii="Arial" w:cs="Arial" w:hAnsi="Arial"/>
          <w:i/>
          <w:color w:val="000000"/>
          <w:sz w:val="24"/>
          <w:szCs w:val="24"/>
          <w:lang w:val="id-ID"/>
        </w:rPr>
        <w:t>Road Map</w:t>
      </w:r>
      <w:r>
        <w:rPr>
          <w:rFonts w:ascii="Arial" w:cs="Arial" w:hAnsi="Arial"/>
          <w:color w:val="000000"/>
          <w:sz w:val="24"/>
          <w:szCs w:val="24"/>
          <w:lang w:val="id-ID"/>
        </w:rPr>
        <w:t xml:space="preserve"> Reformasi Birokrasi Mahkamah Agung.</w:t>
      </w:r>
    </w:p>
    <w:p>
      <w:pPr>
        <w:pStyle w:val="style0"/>
        <w:ind w:firstLine="720"/>
        <w:jc w:val="both"/>
        <w:rPr>
          <w:rFonts w:ascii="Arial" w:cs="Arial" w:hAnsi="Arial"/>
          <w:color w:val="000000"/>
          <w:sz w:val="24"/>
          <w:szCs w:val="24"/>
        </w:rPr>
      </w:pPr>
      <w:r>
        <w:rPr>
          <w:rFonts w:ascii="Arial" w:cs="Arial" w:hAnsi="Arial"/>
          <w:color w:val="000000"/>
          <w:sz w:val="24"/>
          <w:szCs w:val="24"/>
        </w:rPr>
        <w:t>Dalam menangani</w:t>
      </w:r>
      <w:r>
        <w:rPr>
          <w:rFonts w:ascii="Arial" w:cs="Arial" w:hAnsi="Arial"/>
          <w:color w:val="000000"/>
          <w:sz w:val="24"/>
          <w:szCs w:val="24"/>
        </w:rPr>
        <w:t xml:space="preserve"> penyelesaian perkara kasasi terdapat</w:t>
      </w:r>
      <w:r>
        <w:rPr>
          <w:rFonts w:ascii="Arial" w:cs="Arial" w:hAnsi="Arial"/>
          <w:color w:val="000000"/>
          <w:sz w:val="24"/>
          <w:szCs w:val="24"/>
        </w:rPr>
        <w:t xml:space="preserve"> alur yang dapat menghambat penyelesaian kasasi pada tingkat pusat</w:t>
      </w:r>
      <w:r>
        <w:rPr>
          <w:rFonts w:ascii="Arial" w:cs="Arial" w:hAnsi="Arial"/>
          <w:color w:val="000000"/>
          <w:sz w:val="24"/>
          <w:szCs w:val="24"/>
          <w:lang w:val="id-ID"/>
        </w:rPr>
        <w:t>. Berkas dari instansi pengaju masuk pada dua pintu unit eselen I (</w:t>
      </w:r>
      <w:r>
        <w:rPr>
          <w:rFonts w:ascii="Arial" w:cs="Arial" w:hAnsi="Arial"/>
          <w:color w:val="000000"/>
          <w:sz w:val="24"/>
          <w:szCs w:val="24"/>
        </w:rPr>
        <w:t>B</w:t>
      </w:r>
      <w:r>
        <w:rPr>
          <w:rFonts w:ascii="Arial" w:cs="Arial" w:hAnsi="Arial"/>
          <w:color w:val="000000"/>
          <w:sz w:val="24"/>
          <w:szCs w:val="24"/>
          <w:lang w:val="id-ID"/>
        </w:rPr>
        <w:t xml:space="preserve">iro umum pada Unit Sekretariat MA dan Direktorat Pratalak pada unit Eselon I Badan/Direktorat Jenderal), dan berakhir pada Unit eselon I lain (Kepaniteraan), </w:t>
      </w:r>
      <w:r>
        <w:rPr>
          <w:rFonts w:ascii="Arial" w:cs="Arial" w:hAnsi="Arial"/>
          <w:color w:val="000000"/>
          <w:sz w:val="24"/>
          <w:szCs w:val="24"/>
        </w:rPr>
        <w:t xml:space="preserve">sehingga penerapan prinsip peradilan </w:t>
      </w:r>
      <w:r>
        <w:rPr>
          <w:rFonts w:ascii="Arial" w:cs="Arial" w:hAnsi="Arial"/>
          <w:color w:val="000000"/>
          <w:sz w:val="24"/>
          <w:szCs w:val="24"/>
        </w:rPr>
        <w:t>nampaknya</w:t>
      </w:r>
      <w:r>
        <w:rPr>
          <w:rFonts w:ascii="Arial" w:cs="Arial" w:hAnsi="Arial"/>
          <w:color w:val="000000"/>
          <w:sz w:val="24"/>
          <w:szCs w:val="24"/>
        </w:rPr>
        <w:t xml:space="preserve"> agak sulit diterapkan dalam  prakteknya.  Disamping hal tersebut juga ada permasalahan mengenai bagian yang mengurus penyelesaian perkara yang tidak tepat sesuai dengan substansi masalahnya yang seharusnya lebih mengarah pada manajemen perkaranya yang harus ditonjolkan dan dikedepankan.  Direktorat</w:t>
      </w:r>
      <w:r>
        <w:rPr>
          <w:rFonts w:ascii="Arial" w:cs="Arial" w:hAnsi="Arial"/>
          <w:sz w:val="24"/>
          <w:szCs w:val="24"/>
        </w:rPr>
        <w:t xml:space="preserve"> Pranata</w:t>
      </w:r>
      <w:r>
        <w:rPr>
          <w:rFonts w:ascii="Arial" w:cs="Arial" w:hAnsi="Arial"/>
          <w:b/>
          <w:color w:val="000000"/>
          <w:sz w:val="24"/>
          <w:szCs w:val="24"/>
        </w:rPr>
        <w:t xml:space="preserve"> </w:t>
      </w:r>
      <w:r>
        <w:rPr>
          <w:rFonts w:ascii="Arial" w:cs="Arial" w:hAnsi="Arial"/>
          <w:color w:val="000000"/>
          <w:sz w:val="24"/>
          <w:szCs w:val="24"/>
          <w:lang w:val="id-ID"/>
        </w:rPr>
        <w:t xml:space="preserve">dan Tata Laksana Perkara (terdapat pada Direktorat Jenderal/Badan) </w:t>
      </w:r>
      <w:r>
        <w:rPr>
          <w:rFonts w:ascii="Arial" w:cs="Arial" w:hAnsi="Arial"/>
          <w:color w:val="000000"/>
          <w:sz w:val="24"/>
          <w:szCs w:val="24"/>
        </w:rPr>
        <w:t>yang terdiri atas jabatan stru</w:t>
      </w:r>
      <w:r>
        <w:rPr>
          <w:rFonts w:ascii="Arial" w:cs="Arial" w:hAnsi="Arial"/>
          <w:color w:val="000000"/>
          <w:sz w:val="24"/>
          <w:szCs w:val="24"/>
          <w:lang w:val="id-ID"/>
        </w:rPr>
        <w:t>k</w:t>
      </w:r>
      <w:r>
        <w:rPr>
          <w:rFonts w:ascii="Arial" w:cs="Arial" w:hAnsi="Arial"/>
          <w:color w:val="000000"/>
          <w:sz w:val="24"/>
          <w:szCs w:val="24"/>
        </w:rPr>
        <w:t xml:space="preserve">tural tersebut seyogyanya menjadi bagian dari Kepaniteraan.  Hal ini merupakan fungsi-fungsi penting dalam penyelenggaraan  sistem peradilan yang lebih memperhatikan pada prinsip-prinsip sederhana,  cepat dan biaya ringan, sehingga diperlukan suatu evaluasi tersendiri dalam pelaksanaan tugas pokok dan fungsi organisasi yang akan  berpengaruh pada visi dan misi Mahkamah Agung. </w:t>
      </w:r>
    </w:p>
    <w:p>
      <w:pPr>
        <w:pStyle w:val="style0"/>
        <w:ind w:firstLine="720"/>
        <w:jc w:val="both"/>
        <w:rPr>
          <w:rFonts w:ascii="Arial" w:cs="Arial" w:hAnsi="Arial"/>
          <w:color w:val="000000"/>
          <w:sz w:val="24"/>
          <w:szCs w:val="24"/>
          <w:lang w:val="id-ID"/>
        </w:rPr>
      </w:pPr>
    </w:p>
    <w:p>
      <w:pPr>
        <w:pStyle w:val="style0"/>
        <w:jc w:val="both"/>
        <w:rPr>
          <w:rFonts w:ascii="Arial" w:cs="Arial" w:hAnsi="Arial"/>
          <w:color w:val="000000"/>
          <w:sz w:val="24"/>
          <w:szCs w:val="24"/>
          <w:lang w:val="id-ID"/>
        </w:rPr>
      </w:pPr>
      <w:r>
        <w:rPr>
          <w:rFonts w:ascii="Arial" w:cs="Arial" w:hAnsi="Arial"/>
          <w:b/>
          <w:color w:val="000000"/>
          <w:sz w:val="24"/>
          <w:szCs w:val="24"/>
        </w:rPr>
        <w:t>Saran-Saran</w:t>
      </w:r>
    </w:p>
    <w:p>
      <w:pPr>
        <w:pStyle w:val="style0"/>
        <w:ind w:firstLine="426"/>
        <w:jc w:val="both"/>
        <w:rPr>
          <w:rFonts w:ascii="Arial" w:cs="Arial" w:eastAsia="Calibri" w:hAnsi="Arial"/>
          <w:color w:val="000000"/>
          <w:sz w:val="24"/>
          <w:szCs w:val="24"/>
        </w:rPr>
      </w:pPr>
      <w:r>
        <w:rPr>
          <w:rFonts w:ascii="Arial" w:cs="Arial" w:eastAsia="Calibri" w:hAnsi="Arial"/>
          <w:color w:val="000000"/>
          <w:sz w:val="24"/>
          <w:szCs w:val="24"/>
        </w:rPr>
        <w:t xml:space="preserve">Prinsip penerapan </w:t>
      </w:r>
      <w:r>
        <w:rPr>
          <w:rFonts w:ascii="Arial" w:cs="Arial" w:eastAsia="Calibri" w:hAnsi="Arial"/>
          <w:color w:val="000000"/>
          <w:sz w:val="24"/>
          <w:szCs w:val="24"/>
        </w:rPr>
        <w:t xml:space="preserve">system peradilan, sederhana, cepat dan biaya ringan, harus diimbangi dan berbanding lurus dengan penerapan sistem pelaksanaannya, baik dari segi struktur maupun fungsi </w:t>
      </w:r>
      <w:r>
        <w:rPr>
          <w:rFonts w:ascii="Arial" w:cs="Arial" w:eastAsia="Calibri" w:hAnsi="Arial"/>
          <w:color w:val="000000"/>
          <w:sz w:val="24"/>
          <w:szCs w:val="24"/>
        </w:rPr>
        <w:t>penyelesaiannya, yang terbagi pada prosedur, mekanisme dan tugas fungsi pelaksananya.</w:t>
      </w:r>
    </w:p>
    <w:p>
      <w:pPr>
        <w:pStyle w:val="style0"/>
        <w:ind w:firstLine="720"/>
        <w:jc w:val="both"/>
        <w:rPr>
          <w:rFonts w:ascii="Arial" w:cs="Arial" w:hAnsi="Arial"/>
          <w:color w:val="000000"/>
          <w:sz w:val="24"/>
          <w:szCs w:val="24"/>
        </w:rPr>
      </w:pPr>
      <w:r>
        <w:rPr>
          <w:rFonts w:ascii="Arial" w:cs="Arial" w:hAnsi="Arial"/>
          <w:color w:val="000000"/>
          <w:sz w:val="24"/>
          <w:szCs w:val="24"/>
          <w:lang w:val="id-ID"/>
        </w:rPr>
        <w:t xml:space="preserve">Pembagian kewenangan, tugas dan fungsi Mahkamah Agung  pada tingkat pusat berupa  non yudisial dan yudisial seperti yang dijalankan selama ini, harus dibuka pengembangan penerapannya pada tingkat provinsi sehubungan dengan luasnya wilayah  negara dan tersebarnya penduduk, sebagai  upaya penerapan prinsi-prinsip peradilan.  </w:t>
      </w:r>
      <w:r>
        <w:rPr>
          <w:rFonts w:ascii="Arial" w:cs="Arial" w:hAnsi="Arial"/>
          <w:color w:val="000000"/>
          <w:sz w:val="24"/>
          <w:szCs w:val="24"/>
        </w:rPr>
        <w:t>Kewenangan lain</w:t>
      </w:r>
      <w:r>
        <w:rPr>
          <w:rFonts w:ascii="Arial" w:cs="Arial" w:hAnsi="Arial"/>
          <w:color w:val="000000"/>
          <w:sz w:val="24"/>
          <w:szCs w:val="24"/>
          <w:lang w:val="id-ID"/>
        </w:rPr>
        <w:t xml:space="preserve"> yang dapat dikembangkan</w:t>
      </w:r>
      <w:r>
        <w:rPr>
          <w:rFonts w:ascii="Arial" w:cs="Arial" w:hAnsi="Arial"/>
          <w:color w:val="000000"/>
          <w:sz w:val="24"/>
          <w:szCs w:val="24"/>
        </w:rPr>
        <w:t xml:space="preserve"> adalah fungsi MA sebagai instansi Pembina untuk jabatan fungsional kehakiman, kepaniteraan dan kejurusitaan, mengingat jabatan tersebut mayoritas berada di lingkungan MA dan sebagian ada pada beberapa pengadilan di lembaga negara/kementerian dan swasta (arbitrase).</w:t>
      </w:r>
    </w:p>
    <w:p>
      <w:pPr>
        <w:pStyle w:val="style0"/>
        <w:ind w:firstLine="720"/>
        <w:jc w:val="both"/>
        <w:rPr>
          <w:rFonts w:ascii="Arial" w:cs="Arial" w:hAnsi="Arial"/>
          <w:color w:val="000000"/>
          <w:sz w:val="24"/>
          <w:szCs w:val="24"/>
        </w:rPr>
      </w:pPr>
    </w:p>
    <w:p>
      <w:pPr>
        <w:pStyle w:val="style0"/>
        <w:ind w:right="9"/>
        <w:rPr>
          <w:rFonts w:ascii="Arial" w:cs="Arial" w:hAnsi="Arial"/>
          <w:b/>
          <w:sz w:val="26"/>
          <w:szCs w:val="26"/>
          <w:lang w:val="en-ID"/>
        </w:rPr>
      </w:pPr>
      <w:r>
        <w:rPr>
          <w:rFonts w:ascii="Arial" w:cs="Arial" w:hAnsi="Arial"/>
          <w:b/>
          <w:sz w:val="26"/>
          <w:szCs w:val="26"/>
          <w:lang w:val="en-ID"/>
        </w:rPr>
        <w:t>UCAPAN TERIMA KASIH</w:t>
      </w:r>
    </w:p>
    <w:p>
      <w:pPr>
        <w:pStyle w:val="style0"/>
        <w:ind w:firstLine="720"/>
        <w:jc w:val="both"/>
        <w:rPr>
          <w:rFonts w:ascii="Arial" w:cs="Arial" w:hAnsi="Arial"/>
          <w:color w:val="000000"/>
          <w:sz w:val="24"/>
          <w:szCs w:val="24"/>
          <w:lang w:val="id-ID" w:eastAsia="id-ID"/>
        </w:rPr>
      </w:pPr>
      <w:r>
        <w:rPr>
          <w:rFonts w:ascii="Arial" w:cs="Arial" w:hAnsi="Arial"/>
          <w:color w:val="000000"/>
          <w:sz w:val="24"/>
          <w:szCs w:val="24"/>
          <w:lang w:val="id-ID" w:eastAsia="id-ID"/>
        </w:rPr>
        <w:t>Dalam penyelesaian karya tulis ini banyak pihak yang telah membantu, baik langsung maupun tidak langsung, memotivasi dan memperteguh harapan penulis.  Oleh karena itu dalam kesempatan ini penulis mengucapkan banyak terima kasih, terutama kepada</w:t>
      </w:r>
      <w:r>
        <w:rPr>
          <w:rFonts w:ascii="Arial" w:cs="Arial" w:hAnsi="Arial"/>
          <w:color w:val="000000"/>
          <w:sz w:val="24"/>
          <w:szCs w:val="24"/>
          <w:lang w:eastAsia="id-ID"/>
        </w:rPr>
        <w:t xml:space="preserve">; </w:t>
      </w:r>
      <w:r>
        <w:rPr>
          <w:rFonts w:ascii="Arial" w:cs="Arial" w:hAnsi="Arial"/>
          <w:color w:val="000000"/>
          <w:sz w:val="24"/>
          <w:szCs w:val="24"/>
          <w:lang w:val="id-ID" w:eastAsia="id-ID"/>
        </w:rPr>
        <w:t xml:space="preserve">Kepala </w:t>
      </w:r>
      <w:bookmarkStart w:id="3" w:name="_Hlk524341978"/>
      <w:r>
        <w:rPr>
          <w:rFonts w:ascii="Arial" w:cs="Arial" w:hAnsi="Arial"/>
          <w:color w:val="000000"/>
          <w:sz w:val="24"/>
          <w:szCs w:val="24"/>
          <w:lang w:val="id-ID" w:eastAsia="id-ID"/>
        </w:rPr>
        <w:t>Badan Penelitian, Pengembangan, Pendidikan dan Pelatihan Hukum dan Peradilan, Mahkamah Agung R.I.</w:t>
      </w:r>
      <w:bookmarkEnd w:id="3"/>
      <w:r>
        <w:rPr>
          <w:rFonts w:ascii="Arial" w:cs="Arial" w:hAnsi="Arial"/>
          <w:color w:val="000000"/>
          <w:sz w:val="24"/>
          <w:szCs w:val="24"/>
          <w:lang w:val="id-ID" w:eastAsia="id-ID"/>
        </w:rPr>
        <w:t xml:space="preserve">, Bapak Dr. H. Zarof Ricar, S.H., M.Hum. </w:t>
      </w:r>
      <w:r>
        <w:rPr>
          <w:rFonts w:ascii="Arial" w:cs="Arial" w:hAnsi="Arial"/>
          <w:color w:val="000000"/>
          <w:sz w:val="24"/>
          <w:szCs w:val="24"/>
          <w:lang w:eastAsia="id-ID"/>
        </w:rPr>
        <w:t xml:space="preserve">dan </w:t>
      </w:r>
      <w:r>
        <w:rPr>
          <w:rFonts w:ascii="Arial" w:cs="Arial" w:hAnsi="Arial"/>
          <w:color w:val="000000"/>
          <w:sz w:val="24"/>
          <w:szCs w:val="24"/>
          <w:lang w:val="id-ID" w:eastAsia="id-ID"/>
        </w:rPr>
        <w:t>Kepala Pusat Penelitian dan Pengembangan Hukum dan Peradilan, Bapak Dr. Hasbi Hasan,</w:t>
      </w:r>
      <w:r>
        <w:rPr>
          <w:rFonts w:ascii="Arial" w:cs="Arial" w:hAnsi="Arial"/>
          <w:color w:val="000000"/>
          <w:sz w:val="24"/>
          <w:szCs w:val="24"/>
          <w:lang w:eastAsia="id-ID"/>
        </w:rPr>
        <w:t xml:space="preserve"> M.</w:t>
      </w:r>
      <w:r>
        <w:rPr>
          <w:rFonts w:ascii="Arial" w:cs="Arial" w:hAnsi="Arial"/>
          <w:color w:val="000000"/>
          <w:sz w:val="24"/>
          <w:szCs w:val="24"/>
          <w:lang w:val="id-ID" w:eastAsia="id-ID"/>
        </w:rPr>
        <w:t>H</w:t>
      </w:r>
      <w:r>
        <w:rPr>
          <w:rFonts w:ascii="Arial" w:cs="Arial" w:hAnsi="Arial"/>
          <w:color w:val="000000"/>
          <w:sz w:val="24"/>
          <w:szCs w:val="24"/>
          <w:lang w:eastAsia="id-ID"/>
        </w:rPr>
        <w:t>.</w:t>
      </w:r>
      <w:r>
        <w:rPr>
          <w:rFonts w:ascii="Arial" w:cs="Arial" w:hAnsi="Arial"/>
          <w:color w:val="000000"/>
          <w:sz w:val="24"/>
          <w:szCs w:val="24"/>
          <w:lang w:eastAsia="id-ID"/>
        </w:rPr>
        <w:t xml:space="preserve">, </w:t>
      </w:r>
      <w:r>
        <w:rPr>
          <w:rFonts w:ascii="Arial" w:cs="Arial" w:hAnsi="Arial"/>
          <w:color w:val="000000"/>
          <w:sz w:val="24"/>
          <w:szCs w:val="24"/>
          <w:lang w:val="id-ID" w:eastAsia="id-ID"/>
        </w:rPr>
        <w:t xml:space="preserve">yang telah memberikan kesempatan untuk melaksanakan </w:t>
      </w:r>
      <w:r>
        <w:rPr>
          <w:rFonts w:ascii="Arial" w:cs="Arial" w:hAnsi="Arial"/>
          <w:color w:val="000000"/>
          <w:sz w:val="24"/>
          <w:szCs w:val="24"/>
          <w:lang w:eastAsia="id-ID"/>
        </w:rPr>
        <w:t xml:space="preserve">kegiatan </w:t>
      </w:r>
      <w:r>
        <w:rPr>
          <w:rFonts w:ascii="Arial" w:cs="Arial" w:hAnsi="Arial"/>
          <w:color w:val="000000"/>
          <w:sz w:val="24"/>
          <w:szCs w:val="24"/>
          <w:lang w:val="id-ID" w:eastAsia="id-ID"/>
        </w:rPr>
        <w:t>penelitian</w:t>
      </w:r>
      <w:r>
        <w:rPr>
          <w:rFonts w:ascii="Arial" w:cs="Arial" w:hAnsi="Arial"/>
          <w:color w:val="000000"/>
          <w:sz w:val="24"/>
          <w:szCs w:val="24"/>
          <w:lang w:val="id-ID"/>
        </w:rPr>
        <w:t>;</w:t>
      </w:r>
    </w:p>
    <w:p>
      <w:pPr>
        <w:pStyle w:val="style0"/>
        <w:ind w:right="9"/>
        <w:jc w:val="center"/>
        <w:rPr>
          <w:rFonts w:ascii="Arial" w:cs="Arial" w:hAnsi="Arial"/>
          <w:b/>
          <w:sz w:val="24"/>
          <w:szCs w:val="26"/>
        </w:rPr>
      </w:pPr>
    </w:p>
    <w:p>
      <w:pPr>
        <w:pStyle w:val="style0"/>
        <w:ind w:right="9"/>
        <w:jc w:val="center"/>
        <w:rPr>
          <w:rFonts w:ascii="Arial" w:cs="Arial" w:hAnsi="Arial"/>
          <w:b/>
          <w:sz w:val="24"/>
          <w:szCs w:val="26"/>
        </w:rPr>
      </w:pPr>
    </w:p>
    <w:p>
      <w:pPr>
        <w:pStyle w:val="style0"/>
        <w:tabs>
          <w:tab w:val="left" w:leader="none" w:pos="0"/>
          <w:tab w:val="left" w:leader="none" w:pos="90"/>
        </w:tabs>
        <w:ind w:firstLine="567"/>
        <w:jc w:val="center"/>
        <w:rPr>
          <w:rFonts w:ascii="Arial" w:cs="Arial" w:hAnsi="Arial"/>
          <w:b/>
          <w:color w:val="000000"/>
          <w:sz w:val="24"/>
          <w:szCs w:val="24"/>
          <w:lang w:val="id-ID"/>
        </w:rPr>
      </w:pPr>
      <w:r>
        <w:rPr>
          <w:rFonts w:ascii="Arial" w:cs="Arial" w:hAnsi="Arial"/>
          <w:b/>
          <w:color w:val="000000"/>
          <w:sz w:val="24"/>
          <w:szCs w:val="24"/>
          <w:lang w:val="id-ID"/>
        </w:rPr>
        <w:t>DAFTAR KEPUSTAKAAN</w:t>
      </w:r>
    </w:p>
    <w:p>
      <w:pPr>
        <w:pStyle w:val="style0"/>
        <w:tabs>
          <w:tab w:val="left" w:leader="none" w:pos="0"/>
          <w:tab w:val="left" w:leader="none" w:pos="90"/>
        </w:tabs>
        <w:ind w:firstLine="567"/>
        <w:jc w:val="both"/>
        <w:rPr>
          <w:rFonts w:ascii="Arial" w:cs="Arial" w:hAnsi="Arial"/>
          <w:color w:val="000000"/>
          <w:sz w:val="24"/>
          <w:szCs w:val="24"/>
          <w:lang w:val="id-ID"/>
        </w:rPr>
      </w:pPr>
    </w:p>
    <w:p>
      <w:pPr>
        <w:pStyle w:val="style0"/>
        <w:numPr>
          <w:ilvl w:val="2"/>
          <w:numId w:val="20"/>
        </w:numPr>
        <w:tabs>
          <w:tab w:val="left" w:leader="none" w:pos="0"/>
          <w:tab w:val="left" w:leader="none" w:pos="90"/>
        </w:tabs>
        <w:spacing w:after="200"/>
        <w:jc w:val="both"/>
        <w:rPr>
          <w:rFonts w:ascii="Arial" w:cs="Arial" w:hAnsi="Arial"/>
          <w:b/>
          <w:color w:val="000000"/>
          <w:sz w:val="24"/>
          <w:szCs w:val="24"/>
          <w:lang w:val="id-ID"/>
        </w:rPr>
      </w:pPr>
      <w:r>
        <w:rPr>
          <w:rFonts w:ascii="Arial" w:cs="Arial" w:hAnsi="Arial"/>
          <w:b/>
          <w:color w:val="000000"/>
          <w:sz w:val="24"/>
          <w:szCs w:val="24"/>
          <w:lang w:val="id-ID"/>
        </w:rPr>
        <w:t xml:space="preserve"> Buku-Buku</w:t>
      </w:r>
      <w:r>
        <w:rPr>
          <w:rFonts w:ascii="Arial" w:cs="Arial" w:hAnsi="Arial"/>
          <w:b/>
          <w:color w:val="000000"/>
          <w:sz w:val="24"/>
          <w:szCs w:val="24"/>
        </w:rPr>
        <w:t>, Makalah.</w:t>
      </w:r>
    </w:p>
    <w:p>
      <w:pPr>
        <w:pStyle w:val="style0"/>
        <w:tabs>
          <w:tab w:val="left" w:leader="none" w:pos="567"/>
        </w:tabs>
        <w:ind w:left="567" w:hanging="567"/>
        <w:jc w:val="both"/>
        <w:rPr>
          <w:rFonts w:ascii="Arial" w:cs="Arial" w:hAnsi="Arial"/>
          <w:color w:val="000000"/>
          <w:sz w:val="24"/>
          <w:szCs w:val="24"/>
        </w:rPr>
      </w:pPr>
      <w:r>
        <w:rPr>
          <w:rFonts w:ascii="Arial" w:cs="Arial" w:hAnsi="Arial"/>
          <w:color w:val="000000"/>
          <w:sz w:val="24"/>
          <w:szCs w:val="24"/>
        </w:rPr>
        <w:t>Amirin, Tatang M. (1984:7) dari Handout_Sistem_Sosial-upiacid /diakses Sabtu, 9 Februari 2019.</w:t>
      </w:r>
    </w:p>
    <w:p>
      <w:pPr>
        <w:pStyle w:val="style0"/>
        <w:tabs>
          <w:tab w:val="left" w:leader="none" w:pos="567"/>
        </w:tabs>
        <w:ind w:left="567" w:hanging="567"/>
        <w:jc w:val="both"/>
        <w:rPr>
          <w:rFonts w:ascii="Arial" w:cs="Arial" w:hAnsi="Arial"/>
          <w:color w:val="000000"/>
          <w:sz w:val="24"/>
          <w:szCs w:val="24"/>
        </w:rPr>
      </w:pPr>
      <w:r>
        <w:rPr>
          <w:rFonts w:ascii="Arial" w:cs="Arial" w:hAnsi="Arial"/>
          <w:color w:val="000000"/>
          <w:sz w:val="24"/>
          <w:szCs w:val="24"/>
        </w:rPr>
        <w:t>Clive Gray dkk.</w:t>
      </w:r>
      <w:r>
        <w:rPr>
          <w:rFonts w:ascii="Arial" w:cs="Arial" w:hAnsi="Arial"/>
          <w:i/>
          <w:color w:val="000000"/>
          <w:sz w:val="24"/>
          <w:szCs w:val="24"/>
        </w:rPr>
        <w:t xml:space="preserve"> Pengantar Evaluasi Proyek</w:t>
      </w:r>
      <w:r>
        <w:rPr>
          <w:rFonts w:ascii="Arial" w:cs="Arial" w:hAnsi="Arial"/>
          <w:color w:val="000000"/>
          <w:sz w:val="24"/>
          <w:szCs w:val="24"/>
        </w:rPr>
        <w:t>, 1993, Gramedia Pustaka Utama, Jakarta.</w:t>
      </w:r>
    </w:p>
    <w:p>
      <w:pPr>
        <w:pStyle w:val="style0"/>
        <w:tabs>
          <w:tab w:val="left" w:leader="none" w:pos="567"/>
        </w:tabs>
        <w:ind w:left="567" w:hanging="567"/>
        <w:jc w:val="both"/>
        <w:rPr>
          <w:rFonts w:ascii="Arial" w:cs="Arial" w:hAnsi="Arial"/>
          <w:color w:val="000000"/>
          <w:sz w:val="24"/>
          <w:szCs w:val="24"/>
        </w:rPr>
      </w:pPr>
      <w:r>
        <w:rPr>
          <w:rFonts w:ascii="Arial" w:cs="Arial" w:hAnsi="Arial"/>
          <w:color w:val="000000"/>
          <w:sz w:val="24"/>
          <w:szCs w:val="24"/>
          <w:lang w:val="de-DE"/>
        </w:rPr>
        <w:t xml:space="preserve">Mark, Melvin M., Gary T Henry, George Julnes. </w:t>
      </w:r>
      <w:r>
        <w:rPr>
          <w:rFonts w:ascii="Arial" w:cs="Arial" w:hAnsi="Arial"/>
          <w:color w:val="000000"/>
          <w:sz w:val="24"/>
          <w:szCs w:val="24"/>
        </w:rPr>
        <w:t xml:space="preserve">2000. </w:t>
      </w:r>
      <w:r>
        <w:rPr>
          <w:rFonts w:ascii="Arial" w:cs="Arial" w:hAnsi="Arial"/>
          <w:i/>
          <w:color w:val="000000"/>
          <w:sz w:val="24"/>
          <w:szCs w:val="24"/>
        </w:rPr>
        <w:t>Evaluation ; an integrated framework for understanding, guiding and improving public and non profit policies and programs</w:t>
      </w:r>
      <w:r>
        <w:rPr>
          <w:rFonts w:ascii="Arial" w:cs="Arial" w:hAnsi="Arial"/>
          <w:color w:val="000000"/>
          <w:sz w:val="24"/>
          <w:szCs w:val="24"/>
        </w:rPr>
        <w:t xml:space="preserve">. Jossey-bass Inc. 350, </w:t>
      </w:r>
      <w:r>
        <w:rPr>
          <w:rFonts w:ascii="Arial" w:cs="Arial" w:hAnsi="Arial"/>
          <w:color w:val="000000"/>
          <w:sz w:val="24"/>
          <w:szCs w:val="24"/>
        </w:rPr>
        <w:t xml:space="preserve">Sansome Street, San Francisco, California. </w:t>
      </w:r>
    </w:p>
    <w:p>
      <w:pPr>
        <w:pStyle w:val="style0"/>
        <w:tabs>
          <w:tab w:val="left" w:leader="none" w:pos="567"/>
        </w:tabs>
        <w:autoSpaceDE w:val="false"/>
        <w:autoSpaceDN w:val="false"/>
        <w:adjustRightInd w:val="false"/>
        <w:ind w:left="567" w:hanging="567"/>
        <w:jc w:val="both"/>
        <w:rPr>
          <w:rFonts w:ascii="Arial" w:cs="Arial" w:hAnsi="Arial"/>
          <w:color w:val="000000"/>
          <w:sz w:val="24"/>
          <w:szCs w:val="24"/>
          <w:lang w:val="id-ID"/>
        </w:rPr>
      </w:pPr>
      <w:r>
        <w:rPr>
          <w:rFonts w:ascii="Arial" w:cs="Arial" w:hAnsi="Arial"/>
          <w:color w:val="000000"/>
          <w:sz w:val="24"/>
          <w:szCs w:val="24"/>
          <w:lang w:val="id-ID"/>
        </w:rPr>
        <w:t xml:space="preserve">Moh. Nazir, </w:t>
      </w:r>
      <w:r>
        <w:rPr>
          <w:rFonts w:ascii="Arial" w:cs="Arial" w:hAnsi="Arial"/>
          <w:i/>
          <w:color w:val="000000"/>
          <w:sz w:val="24"/>
          <w:szCs w:val="24"/>
          <w:lang w:val="id-ID"/>
        </w:rPr>
        <w:t>Metode Penelitian</w:t>
      </w:r>
      <w:r>
        <w:rPr>
          <w:rFonts w:ascii="Arial" w:cs="Arial" w:hAnsi="Arial"/>
          <w:color w:val="000000"/>
          <w:sz w:val="24"/>
          <w:szCs w:val="24"/>
          <w:lang w:val="id-ID"/>
        </w:rPr>
        <w:t>, Ghalia Indonesia, Cet. Ketujuh, Oktober 2011, Warung Nangka, Ciawi, Bogor.</w:t>
      </w:r>
    </w:p>
    <w:p>
      <w:pPr>
        <w:pStyle w:val="style0"/>
        <w:tabs>
          <w:tab w:val="left" w:leader="none" w:pos="567"/>
        </w:tabs>
        <w:ind w:left="709" w:right="-142" w:hanging="709"/>
        <w:jc w:val="both"/>
        <w:rPr>
          <w:rFonts w:ascii="Arial" w:cs="Arial" w:hAnsi="Arial"/>
          <w:color w:val="000000"/>
          <w:sz w:val="24"/>
          <w:szCs w:val="24"/>
          <w:lang w:val="id-ID"/>
        </w:rPr>
      </w:pPr>
      <w:r>
        <w:rPr>
          <w:rFonts w:ascii="Arial" w:cs="Arial" w:hAnsi="Arial"/>
          <w:bCs/>
          <w:color w:val="000000"/>
          <w:sz w:val="24"/>
          <w:szCs w:val="24"/>
        </w:rPr>
        <w:t xml:space="preserve">Zainuddin Ali, </w:t>
      </w:r>
      <w:r>
        <w:rPr>
          <w:rFonts w:ascii="Arial" w:cs="Arial" w:hAnsi="Arial"/>
          <w:bCs/>
          <w:i/>
          <w:color w:val="000000"/>
          <w:sz w:val="24"/>
          <w:szCs w:val="24"/>
        </w:rPr>
        <w:t>Metode Penelitian Hukum</w:t>
      </w:r>
      <w:r>
        <w:rPr>
          <w:rFonts w:ascii="Arial" w:cs="Arial" w:hAnsi="Arial"/>
          <w:bCs/>
          <w:color w:val="000000"/>
          <w:sz w:val="24"/>
          <w:szCs w:val="24"/>
        </w:rPr>
        <w:t>, 2013, Ed. 1, Cet. 4, Sinar Grafika, Jakarta</w:t>
      </w:r>
      <w:r>
        <w:rPr>
          <w:rFonts w:ascii="Arial" w:cs="Arial" w:hAnsi="Arial"/>
          <w:bCs/>
          <w:color w:val="000000"/>
          <w:sz w:val="24"/>
          <w:szCs w:val="24"/>
          <w:lang w:val="id-ID"/>
        </w:rPr>
        <w:t>.</w:t>
      </w:r>
    </w:p>
    <w:p>
      <w:pPr>
        <w:pStyle w:val="style0"/>
        <w:numPr>
          <w:ilvl w:val="2"/>
          <w:numId w:val="20"/>
        </w:numPr>
        <w:spacing w:after="200"/>
        <w:rPr>
          <w:rFonts w:ascii="Arial" w:cs="Arial" w:hAnsi="Arial"/>
          <w:b/>
          <w:color w:val="000000"/>
          <w:sz w:val="24"/>
          <w:szCs w:val="24"/>
          <w:lang w:val="id-ID"/>
        </w:rPr>
      </w:pPr>
      <w:r>
        <w:rPr>
          <w:rFonts w:ascii="Arial" w:cs="Arial" w:hAnsi="Arial"/>
          <w:b/>
          <w:color w:val="000000"/>
          <w:sz w:val="24"/>
          <w:szCs w:val="24"/>
          <w:lang w:val="id-ID"/>
        </w:rPr>
        <w:t xml:space="preserve">Situs Internet, Laporan Resmi, dll. </w:t>
      </w:r>
    </w:p>
    <w:p>
      <w:pPr>
        <w:pStyle w:val="style0"/>
        <w:tabs>
          <w:tab w:val="left" w:leader="none" w:pos="0"/>
          <w:tab w:val="left" w:leader="none" w:pos="90"/>
        </w:tabs>
        <w:ind w:left="567" w:hanging="567"/>
        <w:jc w:val="both"/>
        <w:rPr>
          <w:rFonts w:ascii="Arial" w:cs="Arial" w:hAnsi="Arial"/>
          <w:color w:val="000000"/>
          <w:sz w:val="24"/>
          <w:szCs w:val="24"/>
          <w:lang w:val="id-ID"/>
        </w:rPr>
      </w:pPr>
      <w:r>
        <w:rPr/>
        <w:fldChar w:fldCharType="begin"/>
      </w:r>
      <w:r>
        <w:instrText xml:space="preserve"> HYPERLINK "https://id.wikipedia.org/wiki/Mahkamah_Agung_Republik_Indonesia/diakses" </w:instrText>
      </w:r>
      <w:r>
        <w:rPr/>
        <w:fldChar w:fldCharType="separate"/>
      </w:r>
      <w:r>
        <w:rPr>
          <w:rFonts w:ascii="Arial" w:cs="Arial" w:eastAsia="Calibri" w:hAnsi="Arial"/>
          <w:color w:val="000000"/>
          <w:sz w:val="24"/>
          <w:szCs w:val="24"/>
          <w:lang w:val="id-ID"/>
        </w:rPr>
        <w:t>https://id.wikipedia.org/wiki/Mahkamah_Agung_Republik_Indonesia/diakses</w:t>
      </w:r>
      <w:r>
        <w:rPr/>
        <w:fldChar w:fldCharType="end"/>
      </w:r>
      <w:r>
        <w:rPr>
          <w:rFonts w:ascii="Arial" w:cs="Arial" w:eastAsia="Calibri" w:hAnsi="Arial"/>
          <w:color w:val="000000"/>
          <w:sz w:val="24"/>
          <w:szCs w:val="24"/>
          <w:lang w:val="id-ID"/>
        </w:rPr>
        <w:t xml:space="preserve"> Senin, 28 Januari 2019</w:t>
      </w:r>
      <w:r>
        <w:rPr>
          <w:rFonts w:ascii="Arial" w:cs="Arial" w:hAnsi="Arial"/>
          <w:color w:val="000000"/>
          <w:sz w:val="24"/>
          <w:szCs w:val="24"/>
          <w:lang w:val="id-ID"/>
        </w:rPr>
        <w:t>.</w:t>
      </w:r>
    </w:p>
    <w:p>
      <w:pPr>
        <w:pStyle w:val="style0"/>
        <w:ind w:left="567" w:hanging="567"/>
        <w:jc w:val="both"/>
        <w:rPr>
          <w:rFonts w:ascii="Arial" w:cs="Arial" w:hAnsi="Arial"/>
          <w:color w:val="000000"/>
          <w:sz w:val="24"/>
          <w:szCs w:val="24"/>
          <w:lang w:val="id-ID"/>
        </w:rPr>
      </w:pPr>
      <w:r>
        <w:rPr/>
        <w:fldChar w:fldCharType="begin"/>
      </w:r>
      <w:r>
        <w:instrText xml:space="preserve"> HYPERLINK "http://artikelsiana.com/2017/09/pengertian-kasasi-alasan-proses" </w:instrText>
      </w:r>
      <w:r>
        <w:rPr/>
        <w:fldChar w:fldCharType="separate"/>
      </w:r>
      <w:r>
        <w:rPr>
          <w:rFonts w:ascii="Arial" w:cs="Arial" w:hAnsi="Arial"/>
          <w:color w:val="000000"/>
          <w:sz w:val="24"/>
          <w:szCs w:val="24"/>
          <w:lang w:val="id-ID"/>
        </w:rPr>
        <w:t>http://artikelsiana.com/2017/09/pengertian-kasasi-alasan-proses</w:t>
      </w:r>
      <w:r>
        <w:rPr/>
        <w:fldChar w:fldCharType="end"/>
      </w:r>
      <w:r>
        <w:rPr>
          <w:rFonts w:ascii="Arial" w:cs="Arial" w:hAnsi="Arial"/>
          <w:color w:val="000000"/>
          <w:sz w:val="24"/>
          <w:szCs w:val="24"/>
        </w:rPr>
        <w:t xml:space="preserve"> </w:t>
      </w:r>
      <w:r>
        <w:rPr>
          <w:rFonts w:ascii="Arial" w:cs="Arial" w:hAnsi="Arial"/>
          <w:color w:val="000000"/>
          <w:sz w:val="24"/>
          <w:szCs w:val="24"/>
          <w:lang w:val="id-ID"/>
        </w:rPr>
        <w:t>fungsi.html#1Maret2019.</w:t>
      </w:r>
    </w:p>
    <w:p>
      <w:pPr>
        <w:pStyle w:val="style0"/>
        <w:ind w:left="567" w:hanging="567"/>
        <w:jc w:val="both"/>
        <w:rPr>
          <w:rFonts w:ascii="Arial" w:cs="Arial" w:hAnsi="Arial"/>
          <w:color w:val="000000"/>
          <w:sz w:val="24"/>
          <w:szCs w:val="24"/>
        </w:rPr>
      </w:pPr>
      <w:r>
        <w:rPr>
          <w:rFonts w:ascii="Arial" w:cs="Arial" w:hAnsi="Arial"/>
          <w:color w:val="000000"/>
          <w:sz w:val="24"/>
          <w:szCs w:val="24"/>
        </w:rPr>
        <w:t>https://kepaniteraan.mahkamahagung.go.id/index.php/prosedur-berperkara/prosedur-kasasi/diakses Selasa, 30 Juli 2019.</w:t>
      </w:r>
    </w:p>
    <w:p>
      <w:pPr>
        <w:pStyle w:val="style0"/>
        <w:ind w:left="567" w:hanging="567"/>
        <w:jc w:val="both"/>
        <w:rPr>
          <w:rFonts w:ascii="Arial" w:cs="Arial" w:hAnsi="Arial"/>
          <w:color w:val="000000"/>
          <w:sz w:val="24"/>
          <w:szCs w:val="24"/>
          <w:lang w:val="id-ID"/>
        </w:rPr>
      </w:pPr>
      <w:r>
        <w:rPr>
          <w:rFonts w:ascii="Arial" w:cs="Arial" w:hAnsi="Arial"/>
          <w:color w:val="000000"/>
          <w:sz w:val="24"/>
          <w:szCs w:val="24"/>
        </w:rPr>
        <w:t>https://kepaniteraan.mahkamahagung.go.id/index.php/peraturan/277-uncategorised?start=5/diakses Selasa, 19 Februari 2019.</w:t>
      </w:r>
    </w:p>
    <w:p>
      <w:pPr>
        <w:pStyle w:val="style0"/>
        <w:ind w:left="567" w:hanging="567"/>
        <w:jc w:val="both"/>
        <w:rPr>
          <w:rFonts w:ascii="Arial" w:cs="Arial" w:hAnsi="Arial"/>
          <w:color w:val="000000"/>
          <w:sz w:val="24"/>
          <w:szCs w:val="24"/>
          <w:lang w:val="id-ID"/>
        </w:rPr>
      </w:pPr>
      <w:r>
        <w:rPr/>
        <w:fldChar w:fldCharType="begin"/>
      </w:r>
      <w:r>
        <w:instrText xml:space="preserve"> HYPERLINK "https://www.slideshare.net/ReplianisAni/organisasi-tradisional-dan-organisasi-modern,%20hlm.%2019/diakses" </w:instrText>
      </w:r>
      <w:r>
        <w:rPr/>
        <w:fldChar w:fldCharType="separate"/>
      </w:r>
      <w:r>
        <w:rPr>
          <w:rFonts w:ascii="Arial" w:cs="Arial" w:hAnsi="Arial"/>
          <w:color w:val="000000"/>
          <w:sz w:val="24"/>
          <w:szCs w:val="24"/>
        </w:rPr>
        <w:t>https://www.slideshare.net/ReplianisAni/organisasi-tradisional-dan-organisasi-modern, hlm. 19/diakses</w:t>
      </w:r>
      <w:r>
        <w:rPr/>
        <w:fldChar w:fldCharType="end"/>
      </w:r>
      <w:r>
        <w:rPr>
          <w:rFonts w:ascii="Arial" w:cs="Arial" w:hAnsi="Arial"/>
          <w:color w:val="000000"/>
          <w:sz w:val="24"/>
          <w:szCs w:val="24"/>
        </w:rPr>
        <w:t xml:space="preserve"> Kamis, 17 Oktober 2019, pukul 22.</w:t>
      </w:r>
      <w:r>
        <w:rPr>
          <w:rFonts w:ascii="Arial" w:cs="Arial" w:hAnsi="Arial"/>
          <w:color w:val="000000"/>
          <w:sz w:val="24"/>
          <w:szCs w:val="24"/>
          <w:vertAlign w:val="superscript"/>
        </w:rPr>
        <w:t>00</w:t>
      </w:r>
      <w:r>
        <w:rPr>
          <w:rFonts w:ascii="Arial" w:cs="Arial" w:hAnsi="Arial"/>
          <w:color w:val="000000"/>
          <w:sz w:val="24"/>
          <w:szCs w:val="24"/>
        </w:rPr>
        <w:t xml:space="preserve"> WIB.</w:t>
      </w:r>
    </w:p>
    <w:p>
      <w:pPr>
        <w:pStyle w:val="style0"/>
        <w:autoSpaceDE w:val="false"/>
        <w:autoSpaceDN w:val="false"/>
        <w:adjustRightInd w:val="false"/>
        <w:ind w:left="567" w:hanging="567"/>
        <w:jc w:val="both"/>
        <w:rPr>
          <w:rFonts w:ascii="Arial" w:cs="Arial" w:hAnsi="Arial"/>
          <w:color w:val="000000"/>
          <w:sz w:val="24"/>
          <w:szCs w:val="24"/>
          <w:lang w:val="id-ID"/>
        </w:rPr>
      </w:pPr>
      <w:r>
        <w:rPr/>
        <w:fldChar w:fldCharType="begin"/>
      </w:r>
      <w:r>
        <w:instrText xml:space="preserve"> HYPERLINK "http://www.pembaruanperadilan.net/v2/2018/07/mahkamah-agung-ri-meresmikan%20-aplikasi-e-court/diakses" </w:instrText>
      </w:r>
      <w:r>
        <w:rPr/>
        <w:fldChar w:fldCharType="separate"/>
      </w:r>
      <w:r>
        <w:rPr>
          <w:rFonts w:ascii="Arial" w:cs="Arial" w:hAnsi="Arial"/>
          <w:color w:val="000000"/>
          <w:sz w:val="24"/>
          <w:szCs w:val="24"/>
          <w:lang w:val="id-ID"/>
        </w:rPr>
        <w:t>http://www.pembaruanperadilan.net/v2/2018/07/mahkamah-agung-ri-meresmikan</w:t>
      </w:r>
      <w:r>
        <w:rPr>
          <w:rFonts w:ascii="Arial" w:cs="Arial" w:hAnsi="Arial"/>
          <w:color w:val="000000"/>
          <w:sz w:val="24"/>
          <w:szCs w:val="24"/>
        </w:rPr>
        <w:t xml:space="preserve"> </w:t>
      </w:r>
      <w:r>
        <w:rPr>
          <w:rFonts w:ascii="Arial" w:cs="Arial" w:hAnsi="Arial"/>
          <w:color w:val="000000"/>
          <w:sz w:val="24"/>
          <w:szCs w:val="24"/>
          <w:lang w:val="id-ID"/>
        </w:rPr>
        <w:t>-aplikasi-e-court/diakses</w:t>
      </w:r>
      <w:r>
        <w:rPr/>
        <w:fldChar w:fldCharType="end"/>
      </w:r>
      <w:r>
        <w:rPr>
          <w:rFonts w:ascii="Arial" w:cs="Arial" w:hAnsi="Arial"/>
          <w:color w:val="000000"/>
          <w:sz w:val="24"/>
          <w:szCs w:val="24"/>
          <w:lang w:val="id-ID"/>
        </w:rPr>
        <w:t xml:space="preserve"> Senin, 23 September 2019, pukul 10.</w:t>
      </w:r>
      <w:r>
        <w:rPr>
          <w:rFonts w:ascii="Arial" w:cs="Arial" w:hAnsi="Arial"/>
          <w:color w:val="000000"/>
          <w:sz w:val="24"/>
          <w:szCs w:val="24"/>
          <w:vertAlign w:val="superscript"/>
          <w:lang w:val="id-ID"/>
        </w:rPr>
        <w:t>58</w:t>
      </w:r>
      <w:r>
        <w:rPr>
          <w:rFonts w:ascii="Arial" w:cs="Arial" w:hAnsi="Arial"/>
          <w:color w:val="000000"/>
          <w:sz w:val="24"/>
          <w:szCs w:val="24"/>
          <w:lang w:val="id-ID"/>
        </w:rPr>
        <w:t xml:space="preserve"> WIB.</w:t>
      </w:r>
    </w:p>
    <w:p>
      <w:pPr>
        <w:pStyle w:val="style0"/>
        <w:tabs>
          <w:tab w:val="left" w:leader="none" w:pos="0"/>
          <w:tab w:val="left" w:leader="none" w:pos="90"/>
        </w:tabs>
        <w:ind w:left="567" w:hanging="567"/>
        <w:jc w:val="both"/>
        <w:rPr>
          <w:rFonts w:ascii="Arial" w:cs="Arial" w:hAnsi="Arial"/>
          <w:color w:val="000000"/>
          <w:sz w:val="24"/>
          <w:szCs w:val="24"/>
        </w:rPr>
      </w:pPr>
      <w:r>
        <w:rPr/>
        <w:fldChar w:fldCharType="begin"/>
      </w:r>
      <w:r>
        <w:instrText xml:space="preserve"> HYPERLINK "https://kbbi.web.id/kelembagaan/diakses" </w:instrText>
      </w:r>
      <w:r>
        <w:rPr/>
        <w:fldChar w:fldCharType="separate"/>
      </w:r>
      <w:r>
        <w:rPr>
          <w:rFonts w:ascii="Arial" w:cs="Arial" w:hAnsi="Arial"/>
          <w:color w:val="000000"/>
          <w:sz w:val="24"/>
          <w:szCs w:val="24"/>
        </w:rPr>
        <w:t>https://kbbi.web.id/kelembagaan/diakses</w:t>
      </w:r>
      <w:r>
        <w:rPr/>
        <w:fldChar w:fldCharType="end"/>
      </w:r>
      <w:r>
        <w:rPr>
          <w:rFonts w:ascii="Arial" w:cs="Arial" w:hAnsi="Arial"/>
          <w:color w:val="000000"/>
          <w:sz w:val="24"/>
          <w:szCs w:val="24"/>
        </w:rPr>
        <w:t>, 15 Oktober 2019, pukul 21.</w:t>
      </w:r>
      <w:r>
        <w:rPr>
          <w:rFonts w:ascii="Arial" w:cs="Arial" w:hAnsi="Arial"/>
          <w:color w:val="000000"/>
          <w:sz w:val="24"/>
          <w:szCs w:val="24"/>
          <w:vertAlign w:val="superscript"/>
        </w:rPr>
        <w:t>44</w:t>
      </w:r>
      <w:r>
        <w:rPr>
          <w:rFonts w:ascii="Arial" w:cs="Arial" w:hAnsi="Arial"/>
          <w:color w:val="000000"/>
          <w:sz w:val="24"/>
          <w:szCs w:val="24"/>
        </w:rPr>
        <w:t xml:space="preserve"> WIB.</w:t>
      </w:r>
    </w:p>
    <w:p>
      <w:pPr>
        <w:pStyle w:val="style0"/>
        <w:ind w:left="567" w:hanging="567"/>
        <w:jc w:val="both"/>
        <w:rPr>
          <w:rFonts w:ascii="Arial" w:cs="Arial" w:hAnsi="Arial"/>
          <w:color w:val="000000"/>
          <w:sz w:val="24"/>
          <w:szCs w:val="24"/>
        </w:rPr>
      </w:pPr>
      <w:r>
        <w:rPr>
          <w:rFonts w:ascii="Arial" w:cs="Arial" w:eastAsia="Calibri" w:hAnsi="Arial"/>
          <w:color w:val="000000"/>
          <w:sz w:val="24"/>
          <w:szCs w:val="24"/>
        </w:rPr>
        <w:t>https://www. wiki/Pengertian sistem</w:t>
      </w:r>
      <w:r>
        <w:rPr>
          <w:rFonts w:ascii="Arial" w:cs="Arial" w:eastAsia="Calibri" w:hAnsi="Arial"/>
          <w:color w:val="000000"/>
          <w:sz w:val="24"/>
          <w:szCs w:val="24"/>
          <w:lang w:val="id-ID"/>
        </w:rPr>
        <w:t xml:space="preserve"> /diakses, Sabtu,</w:t>
      </w:r>
      <w:r>
        <w:rPr>
          <w:rFonts w:ascii="Arial" w:cs="Arial" w:eastAsia="Calibri" w:hAnsi="Arial"/>
          <w:color w:val="000000"/>
          <w:sz w:val="24"/>
          <w:szCs w:val="24"/>
        </w:rPr>
        <w:t xml:space="preserve"> 9</w:t>
      </w:r>
      <w:r>
        <w:rPr>
          <w:rFonts w:ascii="Arial" w:cs="Arial" w:eastAsia="Calibri" w:hAnsi="Arial"/>
          <w:color w:val="000000"/>
          <w:sz w:val="24"/>
          <w:szCs w:val="24"/>
          <w:lang w:val="id-ID"/>
        </w:rPr>
        <w:t xml:space="preserve"> Februari </w:t>
      </w:r>
      <w:r>
        <w:rPr>
          <w:rFonts w:ascii="Arial" w:cs="Arial" w:eastAsia="Calibri" w:hAnsi="Arial"/>
          <w:color w:val="000000"/>
          <w:sz w:val="24"/>
          <w:szCs w:val="24"/>
        </w:rPr>
        <w:t>2019.</w:t>
      </w:r>
    </w:p>
    <w:p>
      <w:pPr>
        <w:pStyle w:val="style0"/>
        <w:tabs>
          <w:tab w:val="left" w:leader="none" w:pos="567"/>
        </w:tabs>
        <w:ind w:left="567" w:hanging="567"/>
        <w:jc w:val="both"/>
        <w:rPr>
          <w:rFonts w:ascii="Arial" w:cs="Arial" w:hAnsi="Arial"/>
          <w:color w:val="000000"/>
          <w:sz w:val="24"/>
          <w:szCs w:val="24"/>
          <w:lang w:val="id-ID"/>
        </w:rPr>
      </w:pPr>
      <w:r>
        <w:rPr>
          <w:rFonts w:ascii="Arial" w:cs="Arial" w:hAnsi="Arial"/>
          <w:color w:val="000000"/>
          <w:sz w:val="24"/>
          <w:szCs w:val="24"/>
        </w:rPr>
        <w:t>Cetak Biru Pembaruan Peradilan 2010-2035, Mahkamah Agung RI 2010, diterbitkan oleh Mahkaman Agung R.I.</w:t>
      </w:r>
    </w:p>
    <w:p>
      <w:pPr>
        <w:pStyle w:val="style0"/>
        <w:tabs>
          <w:tab w:val="left" w:leader="none" w:pos="567"/>
        </w:tabs>
        <w:autoSpaceDE w:val="false"/>
        <w:autoSpaceDN w:val="false"/>
        <w:adjustRightInd w:val="false"/>
        <w:ind w:left="567" w:hanging="567"/>
        <w:jc w:val="both"/>
        <w:rPr>
          <w:rFonts w:ascii="Arial" w:cs="Arial" w:hAnsi="Arial"/>
          <w:color w:val="000000"/>
          <w:sz w:val="24"/>
          <w:szCs w:val="24"/>
          <w:lang w:val="id-ID"/>
        </w:rPr>
      </w:pPr>
      <w:r>
        <w:rPr>
          <w:rFonts w:ascii="Arial" w:cs="Arial" w:hAnsi="Arial"/>
          <w:color w:val="000000"/>
          <w:sz w:val="24"/>
          <w:szCs w:val="24"/>
          <w:lang w:val="id-ID"/>
        </w:rPr>
        <w:t>D</w:t>
      </w:r>
      <w:r>
        <w:rPr>
          <w:rFonts w:ascii="Arial" w:cs="Arial" w:hAnsi="Arial"/>
          <w:color w:val="000000"/>
          <w:sz w:val="24"/>
          <w:szCs w:val="24"/>
        </w:rPr>
        <w:t>raft Kertas Kerja Business Process Reengineering (BPR) Manajemen Perkara Mahkamah Agung-[draft versi 04022013]</w:t>
      </w:r>
      <w:r>
        <w:rPr>
          <w:rFonts w:ascii="Arial" w:cs="Arial" w:hAnsi="Arial"/>
          <w:color w:val="000000"/>
          <w:sz w:val="24"/>
          <w:szCs w:val="24"/>
          <w:lang w:val="id-ID"/>
        </w:rPr>
        <w:t>,</w:t>
      </w:r>
      <w:r>
        <w:rPr>
          <w:rFonts w:ascii="Arial" w:cs="Arial" w:hAnsi="Arial"/>
          <w:color w:val="000000"/>
          <w:sz w:val="24"/>
          <w:szCs w:val="24"/>
        </w:rPr>
        <w:t xml:space="preserve"> </w:t>
      </w:r>
      <w:r>
        <w:rPr>
          <w:rFonts w:ascii="Arial" w:cs="Arial" w:hAnsi="Arial"/>
          <w:color w:val="000000"/>
          <w:sz w:val="24"/>
          <w:szCs w:val="24"/>
          <w:lang w:val="id-ID"/>
        </w:rPr>
        <w:t>Kepaniteraan Mahkamah Agung.</w:t>
      </w:r>
    </w:p>
    <w:p>
      <w:pPr>
        <w:pStyle w:val="style0"/>
        <w:tabs>
          <w:tab w:val="left" w:leader="none" w:pos="567"/>
        </w:tabs>
        <w:ind w:left="567" w:hanging="567"/>
        <w:jc w:val="both"/>
        <w:rPr>
          <w:rFonts w:ascii="Arial" w:cs="Arial" w:hAnsi="Arial"/>
          <w:color w:val="000000"/>
          <w:sz w:val="24"/>
          <w:szCs w:val="24"/>
        </w:rPr>
      </w:pPr>
      <w:r>
        <w:rPr>
          <w:rFonts w:ascii="Arial" w:cs="Arial" w:hAnsi="Arial"/>
          <w:color w:val="000000"/>
          <w:sz w:val="24"/>
          <w:szCs w:val="24"/>
        </w:rPr>
        <w:t>Kertas Kebijakan Pengurangan Arus Perkara ke Mahkamah Agung T</w:t>
      </w:r>
      <w:r>
        <w:rPr>
          <w:rFonts w:ascii="Arial" w:cs="Arial" w:hAnsi="Arial"/>
          <w:color w:val="000000"/>
          <w:sz w:val="24"/>
          <w:szCs w:val="24"/>
          <w:lang w:val="id-ID"/>
        </w:rPr>
        <w:t>im</w:t>
      </w:r>
      <w:r>
        <w:rPr>
          <w:rFonts w:ascii="Arial" w:cs="Arial" w:hAnsi="Arial"/>
          <w:color w:val="000000"/>
          <w:sz w:val="24"/>
          <w:szCs w:val="24"/>
        </w:rPr>
        <w:t xml:space="preserve"> P</w:t>
      </w:r>
      <w:r>
        <w:rPr>
          <w:rFonts w:ascii="Arial" w:cs="Arial" w:hAnsi="Arial"/>
          <w:color w:val="000000"/>
          <w:sz w:val="24"/>
          <w:szCs w:val="24"/>
          <w:lang w:val="id-ID"/>
        </w:rPr>
        <w:t>enulis</w:t>
      </w:r>
      <w:r>
        <w:rPr>
          <w:rFonts w:ascii="Arial" w:cs="Arial" w:hAnsi="Arial"/>
          <w:color w:val="000000"/>
          <w:sz w:val="24"/>
          <w:szCs w:val="24"/>
        </w:rPr>
        <w:t xml:space="preserve">  Arsil, Hasril Hertanto, Liza Farihah-Puslitbang Mahkamah Agung Tahun </w:t>
      </w:r>
    </w:p>
    <w:p>
      <w:pPr>
        <w:pStyle w:val="style0"/>
        <w:tabs>
          <w:tab w:val="left" w:leader="none" w:pos="567"/>
        </w:tabs>
        <w:ind w:left="567" w:hanging="567"/>
        <w:jc w:val="both"/>
        <w:rPr>
          <w:rFonts w:ascii="Arial" w:cs="Arial" w:hAnsi="Arial"/>
          <w:color w:val="000000"/>
          <w:sz w:val="24"/>
          <w:szCs w:val="24"/>
          <w:lang w:val="id-ID"/>
        </w:rPr>
      </w:pPr>
      <w:r>
        <w:rPr>
          <w:rFonts w:ascii="Arial" w:cs="Arial" w:hAnsi="Arial"/>
          <w:color w:val="000000"/>
          <w:sz w:val="24"/>
          <w:szCs w:val="24"/>
          <w:lang w:val="id-ID"/>
        </w:rPr>
        <w:t>Tim</w:t>
      </w:r>
      <w:r>
        <w:rPr>
          <w:rFonts w:ascii="Arial" w:cs="Arial" w:hAnsi="Arial"/>
          <w:color w:val="000000"/>
          <w:sz w:val="24"/>
          <w:szCs w:val="24"/>
        </w:rPr>
        <w:t xml:space="preserve"> </w:t>
      </w:r>
      <w:r>
        <w:rPr>
          <w:rFonts w:ascii="Arial" w:cs="Arial" w:hAnsi="Arial"/>
          <w:color w:val="000000"/>
          <w:sz w:val="24"/>
          <w:szCs w:val="24"/>
          <w:lang w:val="id-ID"/>
        </w:rPr>
        <w:t xml:space="preserve">Analisis Kebutuhan </w:t>
      </w:r>
      <w:r>
        <w:rPr>
          <w:rFonts w:ascii="Arial" w:cs="Arial" w:hAnsi="Arial"/>
          <w:color w:val="000000"/>
          <w:sz w:val="24"/>
          <w:szCs w:val="24"/>
        </w:rPr>
        <w:t xml:space="preserve">Penelitian </w:t>
      </w:r>
      <w:r>
        <w:rPr>
          <w:rFonts w:ascii="Arial" w:cs="Arial" w:hAnsi="Arial"/>
          <w:color w:val="000000"/>
          <w:sz w:val="24"/>
          <w:szCs w:val="24"/>
          <w:lang w:val="id-ID"/>
        </w:rPr>
        <w:t>Puslitbang Kumdil MA dengan Ketua Kamar Pembinaan MA, Prof. Dr. Takdir Rahmadi, S.H., L.L.M., pada Senin, 26 November 2018.</w:t>
      </w:r>
      <w:r>
        <w:rPr>
          <w:rFonts w:ascii="Arial" w:cs="Arial" w:hAnsi="Arial"/>
          <w:color w:val="000000"/>
          <w:sz w:val="24"/>
          <w:szCs w:val="24"/>
          <w:lang w:val="en-ID"/>
        </w:rPr>
        <w:t>.</w:t>
      </w:r>
    </w:p>
    <w:p>
      <w:pPr>
        <w:pStyle w:val="style0"/>
        <w:tabs>
          <w:tab w:val="left" w:leader="none" w:pos="567"/>
        </w:tabs>
        <w:ind w:left="567" w:hanging="567"/>
        <w:jc w:val="both"/>
        <w:rPr>
          <w:rFonts w:ascii="Arial" w:cs="Arial" w:hAnsi="Arial"/>
          <w:color w:val="000000"/>
          <w:sz w:val="24"/>
          <w:szCs w:val="24"/>
        </w:rPr>
      </w:pPr>
    </w:p>
    <w:p>
      <w:pPr>
        <w:pStyle w:val="style0"/>
        <w:numPr>
          <w:ilvl w:val="2"/>
          <w:numId w:val="20"/>
        </w:numPr>
        <w:tabs>
          <w:tab w:val="left" w:leader="none" w:pos="0"/>
          <w:tab w:val="left" w:leader="none" w:pos="90"/>
        </w:tabs>
        <w:spacing w:after="200"/>
        <w:jc w:val="both"/>
        <w:rPr>
          <w:rFonts w:ascii="Arial" w:cs="Arial" w:hAnsi="Arial"/>
          <w:b/>
          <w:color w:val="000000"/>
          <w:sz w:val="24"/>
          <w:szCs w:val="24"/>
          <w:lang w:val="id-ID"/>
        </w:rPr>
      </w:pPr>
      <w:r>
        <w:rPr>
          <w:rFonts w:ascii="Arial" w:cs="Arial" w:hAnsi="Arial"/>
          <w:b/>
          <w:color w:val="000000"/>
          <w:sz w:val="24"/>
          <w:szCs w:val="24"/>
          <w:lang w:val="id-ID"/>
        </w:rPr>
        <w:t>Peraturan Perundang-undangan.</w:t>
      </w:r>
    </w:p>
    <w:p>
      <w:pPr>
        <w:pStyle w:val="style0"/>
        <w:autoSpaceDE w:val="false"/>
        <w:autoSpaceDN w:val="false"/>
        <w:adjustRightInd w:val="false"/>
        <w:ind w:left="567" w:hanging="567"/>
        <w:jc w:val="both"/>
        <w:rPr>
          <w:rFonts w:ascii="Arial" w:cs="Arial" w:hAnsi="Arial"/>
          <w:color w:val="000000"/>
          <w:sz w:val="24"/>
          <w:szCs w:val="24"/>
          <w:lang w:val="id-ID"/>
        </w:rPr>
      </w:pPr>
      <w:r>
        <w:rPr>
          <w:rFonts w:ascii="Arial" w:cs="Arial" w:hAnsi="Arial"/>
          <w:bCs/>
          <w:color w:val="000000"/>
          <w:sz w:val="24"/>
          <w:szCs w:val="24"/>
          <w:lang w:eastAsia="id-ID"/>
        </w:rPr>
        <w:t>Undang-Undang Dasar Negara Republik Indonesia Tahun 1945</w:t>
      </w:r>
      <w:r>
        <w:rPr>
          <w:rFonts w:ascii="Arial" w:cs="Arial" w:hAnsi="Arial"/>
          <w:bCs/>
          <w:color w:val="000000"/>
          <w:sz w:val="24"/>
          <w:szCs w:val="24"/>
          <w:lang w:eastAsia="id-ID"/>
        </w:rPr>
        <w:t>, Perubahan Ketiga.</w:t>
      </w:r>
    </w:p>
    <w:p>
      <w:pPr>
        <w:pStyle w:val="style0"/>
        <w:autoSpaceDE w:val="false"/>
        <w:autoSpaceDN w:val="false"/>
        <w:adjustRightInd w:val="false"/>
        <w:ind w:left="567" w:hanging="567"/>
        <w:jc w:val="both"/>
        <w:rPr>
          <w:rFonts w:ascii="Arial" w:cs="Arial" w:hAnsi="Arial"/>
          <w:color w:val="000000"/>
          <w:sz w:val="24"/>
          <w:szCs w:val="24"/>
        </w:rPr>
      </w:pPr>
      <w:r>
        <w:rPr>
          <w:rFonts w:ascii="Arial" w:cs="Arial" w:hAnsi="Arial"/>
          <w:color w:val="000000"/>
          <w:sz w:val="24"/>
          <w:szCs w:val="24"/>
          <w:lang w:val="id-ID" w:eastAsia="id-ID"/>
        </w:rPr>
        <w:t xml:space="preserve">Undang-Undang Kekuasaan Kehakiman, Nomor 48 Tahun 2009,  </w:t>
      </w:r>
      <w:r>
        <w:rPr>
          <w:rFonts w:ascii="Arial" w:cs="Arial" w:hAnsi="Arial"/>
          <w:color w:val="000000"/>
          <w:sz w:val="24"/>
          <w:szCs w:val="24"/>
        </w:rPr>
        <w:t>tanggal 29 Oktober 2009</w:t>
      </w:r>
      <w:r>
        <w:rPr>
          <w:rFonts w:ascii="Arial" w:cs="Arial" w:hAnsi="Arial"/>
          <w:color w:val="000000"/>
          <w:sz w:val="24"/>
          <w:szCs w:val="24"/>
          <w:lang w:eastAsia="id-ID"/>
        </w:rPr>
        <w:t xml:space="preserve">, </w:t>
      </w:r>
      <w:r>
        <w:rPr>
          <w:rFonts w:ascii="Arial" w:cs="Arial" w:hAnsi="Arial"/>
          <w:color w:val="000000"/>
          <w:sz w:val="24"/>
          <w:szCs w:val="24"/>
          <w:lang w:val="id-ID" w:eastAsia="id-ID"/>
        </w:rPr>
        <w:t>Bab V Badan-badan lain yang fungsinya berkaitan dengan Kekuasaan Kehakiman,</w:t>
      </w:r>
      <w:r>
        <w:rPr>
          <w:rFonts w:ascii="Arial" w:cs="Arial" w:hAnsi="Arial"/>
          <w:color w:val="000000"/>
          <w:sz w:val="24"/>
          <w:szCs w:val="24"/>
          <w:lang w:eastAsia="id-ID"/>
        </w:rPr>
        <w:t xml:space="preserve"> </w:t>
      </w:r>
      <w:r>
        <w:rPr>
          <w:rFonts w:ascii="Arial" w:cs="Arial" w:hAnsi="Arial"/>
          <w:color w:val="000000"/>
          <w:sz w:val="24"/>
          <w:szCs w:val="24"/>
        </w:rPr>
        <w:t>Lembaran Lembaran Negara Reoublik Indonesia Tahun 2009 Nomor 157.</w:t>
      </w:r>
    </w:p>
    <w:p>
      <w:pPr>
        <w:pStyle w:val="style0"/>
        <w:tabs>
          <w:tab w:val="left" w:leader="none" w:pos="567"/>
        </w:tabs>
        <w:ind w:left="709" w:hanging="709"/>
        <w:jc w:val="both"/>
        <w:rPr>
          <w:rFonts w:ascii="Arial" w:cs="Arial" w:hAnsi="Arial"/>
          <w:color w:val="000000"/>
          <w:sz w:val="24"/>
          <w:szCs w:val="24"/>
        </w:rPr>
      </w:pPr>
      <w:r>
        <w:rPr>
          <w:rFonts w:ascii="Arial" w:cs="Arial" w:hAnsi="Arial"/>
          <w:color w:val="000000"/>
          <w:sz w:val="24"/>
          <w:szCs w:val="24"/>
          <w:lang w:val="id-ID"/>
        </w:rPr>
        <w:t>Undang-Undang Nomor 5 Tahun 2004 tentang Perubahan atas Undang-Undang Nomor 14 Tahun 1985 tentang Mahkamah Agung dan Undang-Undang Nomor 3 Tahun 2009 tentang Perubahan Kedua atas UU Nomor 14 Tahun 1985 tentang Mahkamah Agung (UU MA).</w:t>
      </w:r>
    </w:p>
    <w:p>
      <w:pPr>
        <w:pStyle w:val="style0"/>
        <w:ind w:left="567" w:hanging="567"/>
        <w:jc w:val="both"/>
        <w:rPr>
          <w:rFonts w:ascii="Arial" w:cs="Arial" w:hAnsi="Arial"/>
          <w:color w:val="000000"/>
          <w:sz w:val="24"/>
          <w:szCs w:val="24"/>
        </w:rPr>
      </w:pPr>
      <w:r>
        <w:rPr>
          <w:rFonts w:ascii="Arial" w:cs="Arial" w:hAnsi="Arial"/>
          <w:color w:val="000000"/>
          <w:sz w:val="24"/>
          <w:szCs w:val="24"/>
        </w:rPr>
        <w:t>Keputusan Ketua Mahkamah Agung R.I. tentang Jangka Waktu Penanganan Perkara pada Mahkamah Agung R.I. Nomor 214/KMA/SK/XII/2014, tanggal 31 Desember 2014.</w:t>
      </w:r>
    </w:p>
    <w:p>
      <w:pPr>
        <w:pStyle w:val="style0"/>
        <w:autoSpaceDE w:val="false"/>
        <w:autoSpaceDN w:val="false"/>
        <w:adjustRightInd w:val="false"/>
        <w:jc w:val="center"/>
        <w:rPr>
          <w:rFonts w:ascii="Arial" w:cs="Arial" w:hAnsi="Arial"/>
          <w:b/>
          <w:bCs/>
          <w:color w:val="000000"/>
          <w:sz w:val="24"/>
          <w:szCs w:val="24"/>
          <w:lang w:val="id-ID" w:eastAsia="id-ID"/>
        </w:rPr>
      </w:pPr>
    </w:p>
    <w:p>
      <w:pPr>
        <w:pStyle w:val="style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id-ID"/>
        </w:rPr>
      </w:pPr>
    </w:p>
    <w:p>
      <w:pPr>
        <w:pStyle w:val="style0"/>
        <w:ind w:firstLine="720"/>
        <w:jc w:val="both"/>
        <w:rPr>
          <w:rFonts w:ascii="Arial" w:cs="Arial" w:hAnsi="Arial"/>
          <w:bCs/>
          <w:color w:val="ff0000"/>
          <w:sz w:val="24"/>
          <w:szCs w:val="24"/>
          <w:lang w:val="en-GB"/>
        </w:rPr>
      </w:pPr>
    </w:p>
    <w:p>
      <w:pPr>
        <w:pStyle w:val="style0"/>
        <w:ind w:firstLine="720"/>
        <w:jc w:val="both"/>
        <w:rPr>
          <w:rFonts w:ascii="Arial" w:cs="Arial" w:hAnsi="Arial"/>
          <w:bCs/>
          <w:color w:val="ff0000"/>
          <w:sz w:val="24"/>
          <w:szCs w:val="24"/>
          <w:lang w:val="en-GB"/>
        </w:rPr>
      </w:pPr>
    </w:p>
    <w:p>
      <w:pPr>
        <w:pStyle w:val="style0"/>
        <w:ind w:firstLine="720"/>
        <w:jc w:val="both"/>
        <w:rPr>
          <w:rFonts w:ascii="Arial" w:cs="Arial" w:hAnsi="Arial"/>
          <w:bCs/>
          <w:color w:val="ff0000"/>
          <w:sz w:val="24"/>
          <w:szCs w:val="24"/>
          <w:lang w:val="en-GB"/>
        </w:rPr>
      </w:pPr>
    </w:p>
    <w:p>
      <w:pPr>
        <w:pStyle w:val="style0"/>
        <w:jc w:val="both"/>
        <w:rPr>
          <w:rFonts w:ascii="Arial" w:cs="Arial" w:hAnsi="Arial"/>
          <w:bCs/>
          <w:color w:val="ff0000"/>
          <w:sz w:val="24"/>
          <w:szCs w:val="24"/>
          <w:lang w:val="id-ID"/>
        </w:rPr>
      </w:pPr>
    </w:p>
    <w:sectPr>
      <w:headerReference w:type="default" r:id="rId5"/>
      <w:type w:val="continuous"/>
      <w:pgSz w:w="12140" w:h="17080" w:orient="portrait"/>
      <w:pgMar w:top="0" w:right="820" w:bottom="0" w:left="1040" w:header="720" w:footer="720" w:gutter="0"/>
      <w:cols w:equalWidth="0" w:space="720" w:num="2">
        <w:col w:w="4687" w:space="906"/>
        <w:col w:w="468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000247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00"/>
    <w:family w:val="modern"/>
    <w:pitch w:val="fixed"/>
    <w:sig w:usb0="E0002E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mbria">
    <w:altName w:val="Cambria"/>
    <w:panose1 w:val="02040503050000030204"/>
    <w:charset w:val="00"/>
    <w:family w:val="roman"/>
    <w:pitch w:val="variable"/>
    <w:sig w:usb0="E00006FF" w:usb1="420024FF" w:usb2="02000000" w:usb3="00000000" w:csb0="0000019F" w:csb1="00000000"/>
  </w:font>
  <w:font w:name="Tahoma">
    <w:altName w:val="Tahoma"/>
    <w:panose1 w:val="020b0604030000040204"/>
    <w:charset w:val="00"/>
    <w:family w:val="swiss"/>
    <w:pitch w:val="variable"/>
    <w:sig w:usb0="E1002EFF" w:usb1="C000605B" w:usb2="00000029" w:usb3="00000000" w:csb0="000101FF" w:csb1="00000000"/>
  </w:font>
  <w:font w:name="Arial">
    <w:altName w:val="Arial"/>
    <w:panose1 w:val="020b0604020000020204"/>
    <w:charset w:val="00"/>
    <w:family w:val="swiss"/>
    <w:pitch w:val="variable"/>
    <w:sig w:usb0="E0002EFF" w:usb1="C000785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rPr/>
      <w:fldChar w:fldCharType="begin"/>
    </w:r>
    <w:r>
      <w:instrText xml:space="preserve"> PAGE   \* MERGEFORMAT </w:instrText>
    </w:r>
    <w:r>
      <w:rPr/>
      <w:fldChar w:fldCharType="separate"/>
    </w:r>
    <w:r>
      <w:rPr>
        <w:noProof/>
      </w:rPr>
      <w:t>2</w:t>
    </w:r>
    <w:r>
      <w:rPr>
        <w:noProof/>
      </w:rPr>
      <w:fldChar w:fldCharType="end"/>
    </w: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4114"/>
        <w:ind w:firstLine="567"/>
        <w:rPr>
          <w:sz w:val="20"/>
          <w:szCs w:val="20"/>
          <w:lang w:val="en-US" w:eastAsia="en-US"/>
        </w:rPr>
      </w:pPr>
      <w:r>
        <w:rPr>
          <w:rStyle w:val="style38"/>
          <w:rFonts w:eastAsia="宋体"/>
          <w:sz w:val="20"/>
          <w:szCs w:val="20"/>
        </w:rPr>
        <w:footnoteRef/>
      </w:r>
      <w:r>
        <w:rPr>
          <w:b/>
          <w:bCs/>
          <w:sz w:val="20"/>
          <w:szCs w:val="20"/>
        </w:rPr>
        <w:t xml:space="preserve"> </w:t>
      </w:r>
      <w:r>
        <w:rPr>
          <w:bCs/>
          <w:sz w:val="20"/>
          <w:szCs w:val="20"/>
          <w:lang w:val="en-US"/>
        </w:rPr>
        <w:t>Perubahan Ketiga Undang-Undang Dasar Negara Republik Indonesia Tahun 1945.</w:t>
      </w:r>
    </w:p>
  </w:footnote>
  <w:footnote w:id="2">
    <w:p>
      <w:pPr>
        <w:pStyle w:val="style4114"/>
        <w:ind w:firstLine="567"/>
        <w:jc w:val="both"/>
        <w:rPr>
          <w:bCs/>
          <w:sz w:val="20"/>
          <w:szCs w:val="20"/>
          <w:lang w:val="en-US"/>
        </w:rPr>
      </w:pPr>
      <w:r>
        <w:rPr>
          <w:rStyle w:val="style38"/>
          <w:rFonts w:eastAsia="宋体"/>
          <w:sz w:val="20"/>
          <w:szCs w:val="20"/>
        </w:rPr>
        <w:footnoteRef/>
      </w:r>
      <w:r>
        <w:rPr>
          <w:b/>
          <w:bCs/>
          <w:sz w:val="20"/>
          <w:szCs w:val="20"/>
        </w:rPr>
        <w:t xml:space="preserve"> </w:t>
      </w:r>
      <w:r>
        <w:rPr>
          <w:bCs/>
          <w:sz w:val="20"/>
          <w:szCs w:val="20"/>
          <w:lang w:val="en-US"/>
        </w:rPr>
        <w:t>Undang-Undang Republik Indonesia Nomor  48 T</w:t>
      </w:r>
      <w:r>
        <w:rPr>
          <w:bCs/>
          <w:sz w:val="20"/>
          <w:szCs w:val="20"/>
        </w:rPr>
        <w:t>ahun</w:t>
      </w:r>
      <w:r>
        <w:rPr>
          <w:bCs/>
          <w:sz w:val="20"/>
          <w:szCs w:val="20"/>
          <w:lang w:val="en-US"/>
        </w:rPr>
        <w:t xml:space="preserve"> 2009 Tentang Kekuasaan Kehakiman, tanggal 29 Oktober 2009, </w:t>
      </w:r>
      <w:r>
        <w:rPr>
          <w:sz w:val="20"/>
          <w:szCs w:val="20"/>
        </w:rPr>
        <w:t>L</w:t>
      </w:r>
      <w:r>
        <w:rPr>
          <w:sz w:val="20"/>
          <w:szCs w:val="20"/>
          <w:lang w:val="en-US"/>
        </w:rPr>
        <w:t>embaran Negara</w:t>
      </w:r>
      <w:r>
        <w:rPr>
          <w:sz w:val="20"/>
          <w:szCs w:val="20"/>
        </w:rPr>
        <w:t xml:space="preserve"> </w:t>
      </w:r>
      <w:r>
        <w:rPr>
          <w:bCs/>
          <w:sz w:val="20"/>
          <w:szCs w:val="20"/>
          <w:lang w:val="en-US"/>
        </w:rPr>
        <w:t xml:space="preserve">Republik Indonesia </w:t>
      </w:r>
      <w:r>
        <w:rPr>
          <w:sz w:val="20"/>
          <w:szCs w:val="20"/>
        </w:rPr>
        <w:t>T</w:t>
      </w:r>
      <w:r>
        <w:rPr>
          <w:sz w:val="20"/>
          <w:szCs w:val="20"/>
          <w:lang w:val="en-US"/>
        </w:rPr>
        <w:t>ahun</w:t>
      </w:r>
      <w:r>
        <w:rPr>
          <w:sz w:val="20"/>
          <w:szCs w:val="20"/>
        </w:rPr>
        <w:t xml:space="preserve"> 2009 N</w:t>
      </w:r>
      <w:r>
        <w:rPr>
          <w:sz w:val="20"/>
          <w:szCs w:val="20"/>
          <w:lang w:val="en-US"/>
        </w:rPr>
        <w:t>omor</w:t>
      </w:r>
      <w:r>
        <w:rPr>
          <w:sz w:val="20"/>
          <w:szCs w:val="20"/>
        </w:rPr>
        <w:t xml:space="preserve"> 157</w:t>
      </w:r>
      <w:r>
        <w:rPr>
          <w:sz w:val="20"/>
          <w:szCs w:val="20"/>
          <w:lang w:val="en-US"/>
        </w:rPr>
        <w:t>.</w:t>
      </w:r>
    </w:p>
  </w:footnote>
  <w:footnote w:id="3">
    <w:p>
      <w:pPr>
        <w:pStyle w:val="style29"/>
        <w:tabs>
          <w:tab w:val="left" w:leader="none" w:pos="0"/>
          <w:tab w:val="left" w:leader="none" w:pos="90"/>
        </w:tabs>
        <w:ind w:firstLine="567"/>
        <w:jc w:val="both"/>
        <w:rPr>
          <w:color w:val="000000"/>
        </w:rPr>
      </w:pPr>
      <w:r>
        <w:rPr>
          <w:rStyle w:val="style38"/>
          <w:rFonts w:eastAsia="宋体"/>
          <w:color w:val="000000"/>
        </w:rPr>
        <w:footnoteRef/>
      </w:r>
      <w:r>
        <w:rPr>
          <w:color w:val="000000"/>
          <w:lang w:val="id-ID"/>
        </w:rPr>
        <w:t xml:space="preserve"> “Ensiklopedia bebas”, ‘Wikipedia’, 2019, </w:t>
      </w:r>
      <w:r>
        <w:rPr>
          <w:rFonts w:eastAsia="Calibri"/>
          <w:color w:val="000000"/>
          <w:lang w:val="id-ID"/>
        </w:rPr>
        <w:t xml:space="preserve"> </w:t>
      </w:r>
      <w:r>
        <w:rPr/>
        <w:fldChar w:fldCharType="begin"/>
      </w:r>
      <w:r>
        <w:instrText xml:space="preserve"> HYPERLINK "https://id.wikipedia.org/wiki/diakses" </w:instrText>
      </w:r>
      <w:r>
        <w:rPr/>
        <w:fldChar w:fldCharType="separate"/>
      </w:r>
      <w:r>
        <w:rPr>
          <w:rStyle w:val="style85"/>
          <w:rFonts w:eastAsia="Calibri"/>
          <w:color w:val="000000"/>
          <w:lang w:val="id-ID"/>
        </w:rPr>
        <w:t>https://id.wikipedia.org/wiki/diakses</w:t>
      </w:r>
      <w:r>
        <w:rPr/>
        <w:fldChar w:fldCharType="end"/>
      </w:r>
      <w:r>
        <w:rPr>
          <w:rFonts w:eastAsia="Calibri"/>
          <w:color w:val="000000"/>
          <w:lang w:val="id-ID"/>
        </w:rPr>
        <w:t xml:space="preserve"> Senin, 28 Januari 2019</w:t>
      </w:r>
      <w:r>
        <w:rPr>
          <w:color w:val="000000"/>
          <w:lang w:val="id-ID"/>
        </w:rPr>
        <w:t>.</w:t>
      </w:r>
    </w:p>
  </w:footnote>
  <w:footnote w:id="4">
    <w:p>
      <w:pPr>
        <w:pStyle w:val="style29"/>
        <w:tabs>
          <w:tab w:val="left" w:leader="none" w:pos="0"/>
          <w:tab w:val="left" w:leader="none" w:pos="90"/>
        </w:tabs>
        <w:ind w:firstLine="567"/>
        <w:jc w:val="both"/>
        <w:rPr>
          <w:color w:val="000000"/>
        </w:rPr>
      </w:pPr>
      <w:r>
        <w:rPr>
          <w:rStyle w:val="style38"/>
          <w:rFonts w:eastAsia="宋体"/>
          <w:color w:val="000000"/>
        </w:rPr>
        <w:t xml:space="preserve">4 </w:t>
      </w:r>
      <w:r>
        <w:rPr>
          <w:color w:val="000000"/>
          <w:lang w:val="id-ID"/>
        </w:rPr>
        <w:t xml:space="preserve"> </w:t>
      </w:r>
      <w:r>
        <w:rPr>
          <w:color w:val="000000"/>
        </w:rPr>
        <w:t>Cetak Biru Pembaruan Peradilan 2010-2035, Mahkamah Agung RI 2010, diterbitkan oleh Mahkaman Agung R.I., hlm. 36.</w:t>
      </w:r>
    </w:p>
  </w:footnote>
  <w:footnote w:id="5">
    <w:p>
      <w:pPr>
        <w:pStyle w:val="style29"/>
        <w:tabs>
          <w:tab w:val="left" w:leader="none" w:pos="0"/>
          <w:tab w:val="left" w:leader="none" w:pos="90"/>
        </w:tabs>
        <w:ind w:firstLine="567"/>
        <w:jc w:val="both"/>
        <w:rPr>
          <w:color w:val="000000"/>
        </w:rPr>
      </w:pPr>
      <w:r>
        <w:rPr>
          <w:rStyle w:val="style38"/>
          <w:rFonts w:eastAsia="宋体"/>
          <w:color w:val="000000"/>
        </w:rPr>
        <w:t>5</w:t>
      </w:r>
      <w:r>
        <w:rPr>
          <w:color w:val="000000"/>
          <w:lang w:val="id-ID"/>
        </w:rPr>
        <w:t xml:space="preserve"> Ibidem, </w:t>
      </w:r>
      <w:r>
        <w:rPr>
          <w:color w:val="000000"/>
        </w:rPr>
        <w:t>hlm. 37-38.</w:t>
      </w:r>
    </w:p>
  </w:footnote>
  <w:footnote w:id="6">
    <w:p>
      <w:pPr>
        <w:pStyle w:val="style29"/>
        <w:tabs>
          <w:tab w:val="left" w:leader="none" w:pos="0"/>
          <w:tab w:val="left" w:leader="none" w:pos="90"/>
        </w:tabs>
        <w:ind w:firstLine="567"/>
        <w:jc w:val="both"/>
        <w:rPr>
          <w:color w:val="000000"/>
        </w:rPr>
      </w:pPr>
      <w:r>
        <w:rPr>
          <w:rStyle w:val="style38"/>
          <w:rFonts w:eastAsia="宋体"/>
          <w:color w:val="000000"/>
        </w:rPr>
        <w:t xml:space="preserve">6 </w:t>
      </w:r>
      <w:r>
        <w:rPr>
          <w:color w:val="000000"/>
          <w:lang w:val="id-ID"/>
        </w:rPr>
        <w:t xml:space="preserve"> Ibidem</w:t>
      </w:r>
      <w:r>
        <w:rPr>
          <w:color w:val="000000"/>
        </w:rPr>
        <w:t>, hlm. 35.</w:t>
      </w:r>
    </w:p>
  </w:footnote>
  <w:footnote w:id="7">
    <w:p>
      <w:pPr>
        <w:pStyle w:val="style4114"/>
        <w:ind w:firstLine="567"/>
        <w:jc w:val="both"/>
        <w:rPr>
          <w:sz w:val="20"/>
          <w:szCs w:val="20"/>
          <w:lang w:eastAsia="en-US"/>
        </w:rPr>
      </w:pPr>
      <w:r>
        <w:rPr>
          <w:rStyle w:val="style38"/>
          <w:rFonts w:eastAsia="宋体"/>
          <w:sz w:val="20"/>
          <w:szCs w:val="20"/>
        </w:rPr>
        <w:footnoteRef/>
      </w:r>
      <w:r>
        <w:rPr>
          <w:b/>
          <w:bCs/>
          <w:sz w:val="20"/>
          <w:szCs w:val="20"/>
        </w:rPr>
        <w:t xml:space="preserve"> </w:t>
      </w:r>
      <w:r>
        <w:rPr>
          <w:bCs/>
          <w:sz w:val="20"/>
          <w:szCs w:val="20"/>
        </w:rPr>
        <w:t xml:space="preserve">Zainuddin Ali, </w:t>
      </w:r>
      <w:r>
        <w:rPr>
          <w:bCs/>
          <w:i/>
          <w:sz w:val="20"/>
          <w:szCs w:val="20"/>
        </w:rPr>
        <w:t>Metode Penelitian Hukum</w:t>
      </w:r>
      <w:r>
        <w:rPr>
          <w:bCs/>
          <w:sz w:val="20"/>
          <w:szCs w:val="20"/>
        </w:rPr>
        <w:t>, Ed. 1, Cet. 4, Jakarta, Sinar Grafika, 2013, hlm. 105-106.</w:t>
      </w:r>
    </w:p>
  </w:footnote>
  <w:footnote w:id="8">
    <w:p>
      <w:pPr>
        <w:pStyle w:val="style0"/>
        <w:tabs>
          <w:tab w:val="left" w:leader="none" w:pos="0"/>
        </w:tabs>
        <w:autoSpaceDE w:val="false"/>
        <w:autoSpaceDN w:val="false"/>
        <w:adjustRightInd w:val="false"/>
        <w:ind w:firstLine="567"/>
        <w:jc w:val="both"/>
        <w:rPr>
          <w:color w:val="000000"/>
          <w:lang w:val="id-ID"/>
        </w:rPr>
      </w:pPr>
      <w:r>
        <w:rPr>
          <w:rStyle w:val="style38"/>
          <w:rFonts w:eastAsia="宋体"/>
        </w:rPr>
        <w:footnoteRef/>
      </w:r>
      <w:r>
        <w:rPr>
          <w:b/>
          <w:bCs/>
        </w:rPr>
        <w:t xml:space="preserve"> </w:t>
      </w:r>
      <w:r>
        <w:rPr>
          <w:color w:val="000000"/>
          <w:lang w:val="id-ID"/>
        </w:rPr>
        <w:t xml:space="preserve">Moh. Nazir, </w:t>
      </w:r>
      <w:r>
        <w:rPr>
          <w:i/>
          <w:color w:val="000000"/>
          <w:lang w:val="id-ID"/>
        </w:rPr>
        <w:t>Metode Penelitian</w:t>
      </w:r>
      <w:r>
        <w:rPr>
          <w:color w:val="000000"/>
          <w:lang w:val="id-ID"/>
        </w:rPr>
        <w:t>, Ghalia Indonesia, Cet. Ketujuh, Oktober 2011, Warung Nangka, Ciawi, Bogor</w:t>
      </w:r>
      <w:r>
        <w:rPr>
          <w:bCs/>
        </w:rPr>
        <w:t xml:space="preserve">, hlm. </w:t>
      </w:r>
      <w:r>
        <w:rPr>
          <w:bCs/>
          <w:lang w:val="id-ID"/>
        </w:rPr>
        <w:t>9</w:t>
      </w:r>
      <w:r>
        <w:rPr>
          <w:bCs/>
        </w:rPr>
        <w:t>1.</w:t>
      </w:r>
    </w:p>
  </w:footnote>
  <w:footnote w:id="9">
    <w:p>
      <w:pPr>
        <w:pStyle w:val="style0"/>
        <w:ind w:firstLine="567"/>
        <w:jc w:val="both"/>
        <w:rPr>
          <w:color w:val="000000"/>
        </w:rPr>
      </w:pPr>
      <w:r>
        <w:rPr>
          <w:rStyle w:val="style38"/>
          <w:rFonts w:eastAsia="宋体"/>
          <w:color w:val="000000"/>
        </w:rPr>
        <w:footnoteRef/>
      </w:r>
      <w:r>
        <w:rPr>
          <w:color w:val="000000"/>
          <w:lang w:val="id-ID"/>
        </w:rPr>
        <w:t xml:space="preserve"> </w:t>
      </w:r>
      <w:r>
        <w:rPr>
          <w:color w:val="000000"/>
        </w:rPr>
        <w:t xml:space="preserve">Kertas </w:t>
      </w:r>
      <w:r>
        <w:rPr>
          <w:color w:val="000000"/>
        </w:rPr>
        <w:t>Kebijakan Pengurangan Arus Perkara ke Mahkamah Agung T</w:t>
      </w:r>
      <w:r>
        <w:rPr>
          <w:color w:val="000000"/>
          <w:lang w:val="id-ID"/>
        </w:rPr>
        <w:t>im Penulis;</w:t>
      </w:r>
      <w:r>
        <w:rPr>
          <w:color w:val="000000"/>
        </w:rPr>
        <w:t xml:space="preserve">  Arsil, Hasril Hertanto, Liza Farihah-Puslitbang Mahkamah Agung Tahun …</w:t>
      </w:r>
    </w:p>
  </w:footnote>
  <w:footnote w:id="10">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lang w:val="id-ID"/>
        </w:rPr>
        <w:t xml:space="preserve">“Kasasi”,  ‘kbbi.web.id’, 2019, </w:t>
      </w:r>
      <w:r>
        <w:rPr>
          <w:rStyle w:val="style4115"/>
          <w:rFonts w:ascii="Times New Roman" w:hAnsi="Times New Roman"/>
          <w:color w:val="000000"/>
          <w:sz w:val="20"/>
          <w:szCs w:val="20"/>
        </w:rPr>
        <w:t>Pranala (link):https://kbbi.web.id/diakses 1 Maret 2019</w:t>
      </w:r>
    </w:p>
  </w:footnote>
  <w:footnote w:id="11">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w:t>
      </w:r>
      <w:r>
        <w:rPr>
          <w:rFonts w:ascii="Times New Roman" w:hAnsi="Times New Roman"/>
          <w:color w:val="000000"/>
          <w:sz w:val="20"/>
          <w:szCs w:val="20"/>
          <w:lang w:val="id-ID"/>
        </w:rPr>
        <w:t>“</w:t>
      </w:r>
      <w:r>
        <w:rPr>
          <w:rStyle w:val="style4115"/>
          <w:rFonts w:ascii="Times New Roman" w:hAnsi="Times New Roman"/>
          <w:color w:val="000000"/>
          <w:sz w:val="20"/>
          <w:szCs w:val="20"/>
          <w:lang w:val="id-ID"/>
        </w:rPr>
        <w:t>P</w:t>
      </w:r>
      <w:r>
        <w:rPr>
          <w:rStyle w:val="style4115"/>
          <w:rFonts w:ascii="Times New Roman" w:hAnsi="Times New Roman"/>
          <w:color w:val="000000"/>
          <w:sz w:val="20"/>
          <w:szCs w:val="20"/>
        </w:rPr>
        <w:t>rosedur</w:t>
      </w:r>
      <w:r>
        <w:rPr>
          <w:rStyle w:val="style4115"/>
          <w:rFonts w:ascii="Times New Roman" w:hAnsi="Times New Roman"/>
          <w:color w:val="000000"/>
          <w:sz w:val="20"/>
          <w:szCs w:val="20"/>
          <w:lang w:val="id-ID"/>
        </w:rPr>
        <w:t xml:space="preserve"> b</w:t>
      </w:r>
      <w:r>
        <w:rPr>
          <w:rStyle w:val="style4115"/>
          <w:rFonts w:ascii="Times New Roman" w:hAnsi="Times New Roman"/>
          <w:color w:val="000000"/>
          <w:sz w:val="20"/>
          <w:szCs w:val="20"/>
        </w:rPr>
        <w:t>erperkara/prosedur</w:t>
      </w:r>
      <w:r>
        <w:rPr>
          <w:rStyle w:val="style4115"/>
          <w:rFonts w:ascii="Times New Roman" w:hAnsi="Times New Roman"/>
          <w:color w:val="000000"/>
          <w:sz w:val="20"/>
          <w:szCs w:val="20"/>
          <w:lang w:val="id-ID"/>
        </w:rPr>
        <w:t xml:space="preserve"> </w:t>
      </w:r>
      <w:r>
        <w:rPr>
          <w:rStyle w:val="style4115"/>
          <w:rFonts w:ascii="Times New Roman" w:hAnsi="Times New Roman"/>
          <w:color w:val="000000"/>
          <w:sz w:val="20"/>
          <w:szCs w:val="20"/>
        </w:rPr>
        <w:t>kasasi</w:t>
      </w:r>
      <w:r>
        <w:rPr>
          <w:rStyle w:val="style4115"/>
          <w:rFonts w:ascii="Times New Roman" w:hAnsi="Times New Roman"/>
          <w:color w:val="000000"/>
          <w:sz w:val="20"/>
          <w:szCs w:val="20"/>
          <w:lang w:val="id-ID"/>
        </w:rPr>
        <w:t>”, ‘kepaniteraan Mahkamah Agung’, 2019,</w:t>
      </w:r>
      <w:r>
        <w:rPr>
          <w:rStyle w:val="style4115"/>
          <w:rFonts w:ascii="Times New Roman" w:hAnsi="Times New Roman"/>
          <w:color w:val="000000"/>
          <w:sz w:val="20"/>
          <w:szCs w:val="20"/>
        </w:rPr>
        <w:t xml:space="preserve"> https://kepaniteraan.mahkamahagung.go.id/diakses Selasa, 30 Juli 2019.</w:t>
      </w:r>
    </w:p>
  </w:footnote>
  <w:footnote w:id="12">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Naskah Akdemis</w:t>
      </w:r>
      <w:r>
        <w:rPr>
          <w:rFonts w:ascii="Times New Roman" w:hAnsi="Times New Roman"/>
          <w:color w:val="000000"/>
          <w:sz w:val="20"/>
          <w:szCs w:val="20"/>
        </w:rPr>
        <w:t>,</w:t>
      </w:r>
      <w:r>
        <w:rPr>
          <w:rFonts w:ascii="Times New Roman" w:hAnsi="Times New Roman"/>
          <w:color w:val="000000"/>
          <w:sz w:val="20"/>
          <w:szCs w:val="20"/>
        </w:rPr>
        <w:t xml:space="preserve"> </w:t>
      </w:r>
      <w:r>
        <w:rPr>
          <w:rFonts w:ascii="Times New Roman" w:hAnsi="Times New Roman"/>
          <w:i/>
          <w:color w:val="000000"/>
          <w:sz w:val="20"/>
          <w:szCs w:val="20"/>
        </w:rPr>
        <w:t>Pembatasan Kasasi</w:t>
      </w:r>
      <w:r>
        <w:rPr>
          <w:rFonts w:ascii="Times New Roman" w:hAnsi="Times New Roman"/>
          <w:color w:val="000000"/>
          <w:sz w:val="20"/>
          <w:szCs w:val="20"/>
        </w:rPr>
        <w:t>,</w:t>
      </w:r>
      <w:r>
        <w:rPr>
          <w:rFonts w:ascii="Times New Roman" w:hAnsi="Times New Roman"/>
          <w:color w:val="000000"/>
          <w:sz w:val="20"/>
          <w:szCs w:val="20"/>
        </w:rPr>
        <w:t xml:space="preserve"> Puslitbang Hukum dan Peradilan, Mahkamah Agung, Tahun 2004, hlm. 42-48.</w:t>
      </w:r>
    </w:p>
  </w:footnote>
  <w:footnote w:id="13">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w:t>
      </w:r>
      <w:r>
        <w:rPr>
          <w:rFonts w:ascii="Times New Roman" w:hAnsi="Times New Roman"/>
          <w:color w:val="000000"/>
          <w:sz w:val="20"/>
          <w:szCs w:val="20"/>
        </w:rPr>
        <w:t xml:space="preserve"> Ibidem</w:t>
      </w:r>
      <w:r>
        <w:rPr>
          <w:rFonts w:ascii="Times New Roman" w:hAnsi="Times New Roman"/>
          <w:color w:val="000000"/>
          <w:sz w:val="20"/>
          <w:szCs w:val="20"/>
        </w:rPr>
        <w:t>, hlm. 47-48.</w:t>
      </w:r>
    </w:p>
  </w:footnote>
  <w:footnote w:id="14">
    <w:p>
      <w:pPr>
        <w:pStyle w:val="style0"/>
        <w:autoSpaceDE w:val="false"/>
        <w:autoSpaceDN w:val="false"/>
        <w:adjustRightInd w:val="false"/>
        <w:ind w:firstLine="567"/>
        <w:jc w:val="both"/>
        <w:rPr>
          <w:color w:val="000000"/>
          <w:lang w:val="id-ID"/>
        </w:rPr>
      </w:pPr>
      <w:r>
        <w:rPr>
          <w:rStyle w:val="style38"/>
          <w:rFonts w:eastAsia="宋体"/>
          <w:color w:val="000000"/>
        </w:rPr>
        <w:footnoteRef/>
      </w:r>
      <w:r>
        <w:rPr>
          <w:color w:val="000000"/>
        </w:rPr>
        <w:t xml:space="preserve"> </w:t>
      </w:r>
      <w:r>
        <w:rPr>
          <w:color w:val="000000"/>
        </w:rPr>
        <w:t>Lampiran Keputusan Sekreta</w:t>
      </w:r>
      <w:r>
        <w:rPr>
          <w:color w:val="000000"/>
          <w:lang w:val="id-ID"/>
        </w:rPr>
        <w:t>r</w:t>
      </w:r>
      <w:r>
        <w:rPr>
          <w:color w:val="000000"/>
        </w:rPr>
        <w:t xml:space="preserve">is Mahkamah Agung Republik Indonesia, Nomor 41/SEK/SK/9/2015, tentang </w:t>
      </w:r>
      <w:r>
        <w:rPr>
          <w:i/>
          <w:color w:val="000000"/>
        </w:rPr>
        <w:t xml:space="preserve">Road Map </w:t>
      </w:r>
      <w:r>
        <w:rPr>
          <w:color w:val="000000"/>
        </w:rPr>
        <w:t>Reformasi Birokrasi Mahkamah Agung Republik Indonesia 2015-2019, hlm. 39-47.</w:t>
      </w:r>
    </w:p>
  </w:footnote>
  <w:footnote w:id="15">
    <w:p>
      <w:pPr>
        <w:pStyle w:val="style0"/>
        <w:autoSpaceDE w:val="false"/>
        <w:autoSpaceDN w:val="false"/>
        <w:adjustRightInd w:val="false"/>
        <w:ind w:firstLine="567"/>
        <w:jc w:val="both"/>
        <w:rPr>
          <w:color w:val="000000"/>
          <w:lang w:val="id-ID"/>
        </w:rPr>
      </w:pPr>
      <w:r>
        <w:rPr>
          <w:rStyle w:val="style38"/>
          <w:rFonts w:eastAsia="宋体"/>
          <w:color w:val="000000"/>
        </w:rPr>
        <w:footnoteRef/>
      </w:r>
      <w:r>
        <w:rPr>
          <w:color w:val="000000"/>
        </w:rPr>
        <w:t xml:space="preserve"> </w:t>
      </w:r>
      <w:r>
        <w:rPr>
          <w:color w:val="000000"/>
          <w:lang w:val="id-ID"/>
        </w:rPr>
        <w:t>D</w:t>
      </w:r>
      <w:r>
        <w:rPr>
          <w:color w:val="000000"/>
        </w:rPr>
        <w:t>raft Kertas Kerja</w:t>
      </w:r>
      <w:r>
        <w:rPr>
          <w:color w:val="000000"/>
        </w:rPr>
        <w:t>,</w:t>
      </w:r>
      <w:r>
        <w:rPr>
          <w:color w:val="000000"/>
        </w:rPr>
        <w:t xml:space="preserve"> </w:t>
      </w:r>
      <w:r>
        <w:rPr>
          <w:i/>
          <w:color w:val="000000"/>
        </w:rPr>
        <w:t>Business Process Reengineering (BPR) Manajemen Perkara Mahkamah Agung RI</w:t>
      </w:r>
      <w:r>
        <w:rPr>
          <w:color w:val="000000"/>
        </w:rPr>
        <w:t>- [draft versi 04022013]</w:t>
      </w:r>
      <w:r>
        <w:rPr>
          <w:color w:val="000000"/>
          <w:lang w:val="id-ID"/>
        </w:rPr>
        <w:t>, Kepaniteraan Mahkamah Agung R.I.</w:t>
      </w:r>
    </w:p>
  </w:footnote>
  <w:footnote w:id="16">
    <w:p>
      <w:pPr>
        <w:pStyle w:val="style29"/>
        <w:tabs>
          <w:tab w:val="left" w:leader="none" w:pos="0"/>
          <w:tab w:val="left" w:leader="none" w:pos="90"/>
        </w:tabs>
        <w:ind w:firstLine="567"/>
        <w:jc w:val="both"/>
        <w:rPr>
          <w:color w:val="000000"/>
        </w:rPr>
      </w:pPr>
      <w:r>
        <w:rPr>
          <w:rStyle w:val="style38"/>
          <w:rFonts w:eastAsia="宋体"/>
          <w:color w:val="000000"/>
        </w:rPr>
        <w:footnoteRef/>
      </w:r>
      <w:r>
        <w:rPr>
          <w:color w:val="000000"/>
          <w:lang w:val="id-ID"/>
        </w:rPr>
        <w:t xml:space="preserve"> </w:t>
      </w:r>
      <w:r>
        <w:rPr>
          <w:color w:val="000000"/>
        </w:rPr>
        <w:t xml:space="preserve">Pranala (link): </w:t>
      </w:r>
      <w:r>
        <w:rPr>
          <w:color w:val="000000"/>
          <w:lang w:val="id-ID"/>
        </w:rPr>
        <w:t>K</w:t>
      </w:r>
      <w:r>
        <w:rPr>
          <w:color w:val="000000"/>
        </w:rPr>
        <w:t>elembagaan</w:t>
      </w:r>
      <w:r>
        <w:rPr>
          <w:color w:val="000000"/>
          <w:lang w:val="id-ID"/>
        </w:rPr>
        <w:t xml:space="preserve">”, ‘kbbi.web.id”, </w:t>
      </w:r>
      <w:r>
        <w:rPr>
          <w:color w:val="000000"/>
        </w:rPr>
        <w:t xml:space="preserve"> </w:t>
      </w:r>
      <w:r>
        <w:rPr/>
        <w:fldChar w:fldCharType="begin"/>
      </w:r>
      <w:r>
        <w:instrText xml:space="preserve"> HYPERLINK "https://kbbi.web.id/diakses" </w:instrText>
      </w:r>
      <w:r>
        <w:rPr/>
        <w:fldChar w:fldCharType="separate"/>
      </w:r>
      <w:r>
        <w:rPr>
          <w:rStyle w:val="style85"/>
        </w:rPr>
        <w:t>https://kbbi.web.id/diakses</w:t>
      </w:r>
      <w:r>
        <w:rPr/>
        <w:fldChar w:fldCharType="end"/>
      </w:r>
      <w:r>
        <w:rPr>
          <w:color w:val="000000"/>
        </w:rPr>
        <w:t xml:space="preserve"> Selasa, 15 Oktober 2019, pukul 21.</w:t>
      </w:r>
      <w:r>
        <w:rPr>
          <w:color w:val="000000"/>
          <w:vertAlign w:val="superscript"/>
        </w:rPr>
        <w:t>44</w:t>
      </w:r>
      <w:r>
        <w:rPr>
          <w:color w:val="000000"/>
        </w:rPr>
        <w:t xml:space="preserve"> WIB.</w:t>
      </w:r>
    </w:p>
  </w:footnote>
  <w:footnote w:id="17">
    <w:p>
      <w:pPr>
        <w:pStyle w:val="style29"/>
        <w:tabs>
          <w:tab w:val="left" w:leader="none" w:pos="0"/>
          <w:tab w:val="left" w:leader="none" w:pos="90"/>
        </w:tabs>
        <w:ind w:firstLine="567"/>
        <w:jc w:val="both"/>
        <w:rPr>
          <w:color w:val="000000"/>
          <w:lang w:val="id-ID"/>
        </w:rPr>
      </w:pPr>
      <w:r>
        <w:rPr>
          <w:rStyle w:val="style38"/>
          <w:rFonts w:eastAsia="宋体"/>
          <w:color w:val="000000"/>
        </w:rPr>
        <w:footnoteRef/>
      </w:r>
      <w:r>
        <w:rPr>
          <w:color w:val="000000"/>
          <w:lang w:val="id-ID"/>
        </w:rPr>
        <w:t xml:space="preserve"> Ibidem, “Ädil”, </w:t>
      </w:r>
      <w:r>
        <w:rPr>
          <w:color w:val="000000"/>
        </w:rPr>
        <w:t>https://kbbi.web.id</w:t>
      </w:r>
      <w:r>
        <w:rPr>
          <w:color w:val="000000"/>
          <w:lang w:val="id-ID"/>
        </w:rPr>
        <w:t>.</w:t>
      </w:r>
    </w:p>
  </w:footnote>
  <w:footnote w:id="18">
    <w:p>
      <w:pPr>
        <w:pStyle w:val="style0"/>
        <w:autoSpaceDE w:val="false"/>
        <w:autoSpaceDN w:val="false"/>
        <w:adjustRightInd w:val="false"/>
        <w:ind w:firstLine="567"/>
        <w:jc w:val="both"/>
        <w:rPr>
          <w:color w:val="000000"/>
        </w:rPr>
      </w:pPr>
      <w:r>
        <w:rPr>
          <w:rStyle w:val="style38"/>
          <w:rFonts w:eastAsia="宋体"/>
          <w:color w:val="000000"/>
        </w:rPr>
        <w:footnoteRef/>
      </w:r>
      <w:r>
        <w:rPr>
          <w:color w:val="000000"/>
          <w:lang w:val="id-ID" w:eastAsia="id-ID"/>
        </w:rPr>
        <w:t xml:space="preserve"> </w:t>
      </w:r>
      <w:r>
        <w:rPr>
          <w:color w:val="000000"/>
          <w:lang w:eastAsia="id-ID"/>
        </w:rPr>
        <w:t>P</w:t>
      </w:r>
      <w:r>
        <w:rPr>
          <w:color w:val="000000"/>
          <w:lang w:val="id-ID" w:eastAsia="id-ID"/>
        </w:rPr>
        <w:t>asal 38</w:t>
      </w:r>
      <w:r>
        <w:rPr>
          <w:color w:val="000000"/>
          <w:lang w:eastAsia="id-ID"/>
        </w:rPr>
        <w:t xml:space="preserve">, </w:t>
      </w:r>
      <w:r>
        <w:rPr>
          <w:color w:val="000000"/>
          <w:lang w:val="id-ID" w:eastAsia="id-ID"/>
        </w:rPr>
        <w:t xml:space="preserve">Undang-Undang Kekuasaan Kehakiman, Nomor 48 Tahun 2009,  </w:t>
      </w:r>
      <w:r>
        <w:rPr>
          <w:color w:val="000000"/>
        </w:rPr>
        <w:t>tanggal 29 Oktober 2009</w:t>
      </w:r>
      <w:r>
        <w:rPr>
          <w:color w:val="000000"/>
          <w:lang w:eastAsia="id-ID"/>
        </w:rPr>
        <w:t xml:space="preserve">, </w:t>
      </w:r>
      <w:r>
        <w:rPr>
          <w:color w:val="000000"/>
          <w:lang w:val="id-ID" w:eastAsia="id-ID"/>
        </w:rPr>
        <w:t>Bab V Badan-badan lain yang fungsinya berkaitan dengan Kekuasaan Kehakiman,</w:t>
      </w:r>
      <w:r>
        <w:rPr>
          <w:color w:val="000000"/>
          <w:lang w:eastAsia="id-ID"/>
        </w:rPr>
        <w:t xml:space="preserve"> </w:t>
      </w:r>
      <w:r>
        <w:rPr>
          <w:color w:val="000000"/>
        </w:rPr>
        <w:t>Lembaran Lembaran Negara Reoublik Indonesia Tahun 2009 Nomor 157.</w:t>
      </w:r>
    </w:p>
  </w:footnote>
  <w:footnote w:id="19">
    <w:p>
      <w:pPr>
        <w:pStyle w:val="style0"/>
        <w:autoSpaceDE w:val="false"/>
        <w:autoSpaceDN w:val="false"/>
        <w:adjustRightInd w:val="false"/>
        <w:ind w:firstLine="567"/>
        <w:jc w:val="both"/>
        <w:rPr>
          <w:color w:val="000000"/>
        </w:rPr>
      </w:pPr>
      <w:r>
        <w:rPr>
          <w:rStyle w:val="style38"/>
          <w:rFonts w:eastAsia="宋体"/>
          <w:color w:val="000000"/>
        </w:rPr>
        <w:footnoteRef/>
      </w:r>
      <w:r>
        <w:rPr>
          <w:color w:val="000000"/>
          <w:lang w:val="id-ID" w:eastAsia="id-ID"/>
        </w:rPr>
        <w:t xml:space="preserve"> </w:t>
      </w:r>
      <w:r>
        <w:rPr>
          <w:color w:val="000000"/>
          <w:lang w:eastAsia="id-ID"/>
        </w:rPr>
        <w:t xml:space="preserve">Ibidem, </w:t>
      </w:r>
      <w:r>
        <w:rPr>
          <w:color w:val="000000"/>
          <w:lang w:eastAsia="id-ID"/>
        </w:rPr>
        <w:t>P</w:t>
      </w:r>
      <w:r>
        <w:rPr>
          <w:color w:val="000000"/>
          <w:lang w:val="id-ID" w:eastAsia="id-ID"/>
        </w:rPr>
        <w:t>asal 10</w:t>
      </w:r>
      <w:r>
        <w:rPr>
          <w:color w:val="000000"/>
          <w:lang w:eastAsia="id-ID"/>
        </w:rPr>
        <w:t>.</w:t>
      </w:r>
    </w:p>
  </w:footnote>
  <w:footnote w:id="20">
    <w:p>
      <w:pPr>
        <w:pStyle w:val="style0"/>
        <w:tabs>
          <w:tab w:val="left" w:leader="none" w:pos="567"/>
        </w:tabs>
        <w:ind w:firstLine="567"/>
        <w:rPr>
          <w:color w:val="000000"/>
          <w:lang w:val="id-ID"/>
        </w:rPr>
      </w:pPr>
      <w:r>
        <w:rPr>
          <w:rStyle w:val="style38"/>
          <w:rFonts w:eastAsia="宋体"/>
          <w:color w:val="000000"/>
        </w:rPr>
        <w:footnoteRef/>
      </w:r>
      <w:r>
        <w:rPr>
          <w:color w:val="000000"/>
          <w:lang w:val="id-ID"/>
        </w:rPr>
        <w:t xml:space="preserve"> “Pengertian sistem sosial”, ‘upi.ac.id’, www.upi.ac.id/diakses Sabtu, 9 Februari 2019</w:t>
      </w:r>
    </w:p>
    <w:p>
      <w:pPr>
        <w:pStyle w:val="style157"/>
        <w:ind w:firstLine="567"/>
        <w:jc w:val="both"/>
        <w:rPr>
          <w:rFonts w:ascii="Times New Roman" w:hAnsi="Times New Roman"/>
          <w:color w:val="000000"/>
          <w:sz w:val="20"/>
          <w:szCs w:val="20"/>
        </w:rPr>
      </w:pPr>
    </w:p>
    <w:p>
      <w:pPr>
        <w:pStyle w:val="style157"/>
        <w:ind w:firstLine="567"/>
        <w:rPr>
          <w:rFonts w:ascii="Times New Roman" w:hAnsi="Times New Roman"/>
          <w:color w:val="000000"/>
          <w:sz w:val="20"/>
          <w:szCs w:val="20"/>
        </w:rPr>
      </w:pPr>
    </w:p>
  </w:footnote>
  <w:footnote w:id="21">
    <w:p>
      <w:pPr>
        <w:pStyle w:val="style0"/>
        <w:tabs>
          <w:tab w:val="left" w:leader="none" w:pos="567"/>
        </w:tabs>
        <w:ind w:firstLine="567"/>
        <w:jc w:val="both"/>
        <w:rPr>
          <w:color w:val="000000"/>
          <w:lang w:val="id-ID"/>
        </w:rPr>
      </w:pPr>
      <w:r>
        <w:rPr>
          <w:rStyle w:val="style38"/>
          <w:rFonts w:eastAsia="宋体"/>
          <w:color w:val="000000"/>
        </w:rPr>
        <w:footnoteRef/>
      </w:r>
      <w:r>
        <w:rPr>
          <w:color w:val="000000"/>
          <w:lang w:val="id-ID"/>
        </w:rPr>
        <w:t xml:space="preserve"> Amirin, Tatang M. (1984:7) dari </w:t>
      </w:r>
      <w:r>
        <w:rPr>
          <w:i/>
          <w:color w:val="000000"/>
          <w:lang w:val="id-ID"/>
        </w:rPr>
        <w:t>Handout</w:t>
      </w:r>
      <w:r>
        <w:rPr>
          <w:color w:val="000000"/>
          <w:lang w:val="id-ID"/>
        </w:rPr>
        <w:t>_Sistem_Sosial-upiacid /diakses Sabtu, 9 Februari 2019</w:t>
      </w:r>
    </w:p>
    <w:p>
      <w:pPr>
        <w:pStyle w:val="style157"/>
        <w:ind w:firstLine="567"/>
        <w:jc w:val="both"/>
        <w:rPr>
          <w:rFonts w:ascii="Times New Roman" w:hAnsi="Times New Roman"/>
          <w:color w:val="000000"/>
          <w:sz w:val="20"/>
          <w:szCs w:val="20"/>
        </w:rPr>
      </w:pPr>
    </w:p>
    <w:p>
      <w:pPr>
        <w:pStyle w:val="style157"/>
        <w:ind w:firstLine="567"/>
        <w:rPr>
          <w:rFonts w:ascii="Times New Roman" w:hAnsi="Times New Roman"/>
          <w:color w:val="000000"/>
          <w:sz w:val="20"/>
          <w:szCs w:val="20"/>
        </w:rPr>
      </w:pPr>
    </w:p>
  </w:footnote>
  <w:footnote w:id="22">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Replianis</w:t>
      </w:r>
      <w:r>
        <w:rPr>
          <w:rFonts w:ascii="Times New Roman" w:hAnsi="Times New Roman"/>
          <w:color w:val="000000"/>
          <w:sz w:val="20"/>
          <w:szCs w:val="20"/>
          <w:lang w:val="id-ID"/>
        </w:rPr>
        <w:t xml:space="preserve"> </w:t>
      </w:r>
      <w:r>
        <w:rPr>
          <w:rFonts w:ascii="Times New Roman" w:hAnsi="Times New Roman"/>
          <w:color w:val="000000"/>
          <w:sz w:val="20"/>
          <w:szCs w:val="20"/>
        </w:rPr>
        <w:t>Ani</w:t>
      </w:r>
      <w:r>
        <w:rPr>
          <w:rFonts w:ascii="Times New Roman" w:hAnsi="Times New Roman"/>
          <w:color w:val="000000"/>
          <w:sz w:val="20"/>
          <w:szCs w:val="20"/>
          <w:lang w:val="id-ID"/>
        </w:rPr>
        <w:t>, “O</w:t>
      </w:r>
      <w:r>
        <w:rPr>
          <w:rFonts w:ascii="Times New Roman" w:hAnsi="Times New Roman"/>
          <w:color w:val="000000"/>
          <w:sz w:val="20"/>
          <w:szCs w:val="20"/>
        </w:rPr>
        <w:t>rganisasi</w:t>
      </w:r>
      <w:r>
        <w:rPr>
          <w:rFonts w:ascii="Times New Roman" w:hAnsi="Times New Roman"/>
          <w:color w:val="000000"/>
          <w:sz w:val="20"/>
          <w:szCs w:val="20"/>
          <w:lang w:val="id-ID"/>
        </w:rPr>
        <w:t xml:space="preserve"> </w:t>
      </w:r>
      <w:r>
        <w:rPr>
          <w:rFonts w:ascii="Times New Roman" w:hAnsi="Times New Roman"/>
          <w:color w:val="000000"/>
          <w:sz w:val="20"/>
          <w:szCs w:val="20"/>
        </w:rPr>
        <w:t>tradisional</w:t>
      </w:r>
      <w:r>
        <w:rPr>
          <w:rFonts w:ascii="Times New Roman" w:hAnsi="Times New Roman"/>
          <w:color w:val="000000"/>
          <w:sz w:val="20"/>
          <w:szCs w:val="20"/>
          <w:lang w:val="id-ID"/>
        </w:rPr>
        <w:t xml:space="preserve"> </w:t>
      </w:r>
      <w:r>
        <w:rPr>
          <w:rFonts w:ascii="Times New Roman" w:hAnsi="Times New Roman"/>
          <w:color w:val="000000"/>
          <w:sz w:val="20"/>
          <w:szCs w:val="20"/>
        </w:rPr>
        <w:t>dan</w:t>
      </w:r>
      <w:r>
        <w:rPr>
          <w:rFonts w:ascii="Times New Roman" w:hAnsi="Times New Roman"/>
          <w:color w:val="000000"/>
          <w:sz w:val="20"/>
          <w:szCs w:val="20"/>
          <w:lang w:val="id-ID"/>
        </w:rPr>
        <w:t xml:space="preserve"> </w:t>
      </w:r>
      <w:r>
        <w:rPr>
          <w:rFonts w:ascii="Times New Roman" w:hAnsi="Times New Roman"/>
          <w:color w:val="000000"/>
          <w:sz w:val="20"/>
          <w:szCs w:val="20"/>
        </w:rPr>
        <w:t>organisasi</w:t>
      </w:r>
      <w:r>
        <w:rPr>
          <w:rFonts w:ascii="Times New Roman" w:hAnsi="Times New Roman"/>
          <w:color w:val="000000"/>
          <w:sz w:val="20"/>
          <w:szCs w:val="20"/>
          <w:lang w:val="id-ID"/>
        </w:rPr>
        <w:t xml:space="preserve"> </w:t>
      </w:r>
      <w:r>
        <w:rPr>
          <w:rFonts w:ascii="Times New Roman" w:hAnsi="Times New Roman"/>
          <w:color w:val="000000"/>
          <w:sz w:val="20"/>
          <w:szCs w:val="20"/>
        </w:rPr>
        <w:t>modern</w:t>
      </w:r>
      <w:r>
        <w:rPr>
          <w:rFonts w:ascii="Times New Roman" w:hAnsi="Times New Roman"/>
          <w:color w:val="000000"/>
          <w:sz w:val="20"/>
          <w:szCs w:val="20"/>
          <w:lang w:val="id-ID"/>
        </w:rPr>
        <w:t xml:space="preserve">”, ‘slideshare.net’, </w:t>
      </w:r>
      <w:r>
        <w:rPr>
          <w:rFonts w:ascii="Times New Roman" w:hAnsi="Times New Roman"/>
          <w:color w:val="000000"/>
          <w:sz w:val="20"/>
          <w:szCs w:val="20"/>
        </w:rPr>
        <w:t xml:space="preserve"> </w:t>
      </w:r>
      <w:r>
        <w:rPr/>
        <w:fldChar w:fldCharType="begin"/>
      </w:r>
      <w:r>
        <w:instrText xml:space="preserve"> HYPERLINK "https://www.slideshare.net/hlm.%2019/diakses" </w:instrText>
      </w:r>
      <w:r>
        <w:rPr/>
        <w:fldChar w:fldCharType="separate"/>
      </w:r>
      <w:r>
        <w:rPr>
          <w:rStyle w:val="style85"/>
          <w:rFonts w:ascii="Times New Roman" w:hAnsi="Times New Roman"/>
          <w:color w:val="000000"/>
          <w:sz w:val="20"/>
          <w:szCs w:val="20"/>
        </w:rPr>
        <w:t>https://www.slideshare.net/hlm. 19/diakses</w:t>
      </w:r>
      <w:r>
        <w:rPr/>
        <w:fldChar w:fldCharType="end"/>
      </w:r>
      <w:r>
        <w:rPr>
          <w:rFonts w:ascii="Times New Roman" w:hAnsi="Times New Roman"/>
          <w:color w:val="000000"/>
          <w:sz w:val="20"/>
          <w:szCs w:val="20"/>
        </w:rPr>
        <w:t xml:space="preserve"> Kamis, 17 Oktober 2019, pukul 22.</w:t>
      </w:r>
      <w:r>
        <w:rPr>
          <w:rFonts w:ascii="Times New Roman" w:hAnsi="Times New Roman"/>
          <w:color w:val="000000"/>
          <w:sz w:val="20"/>
          <w:szCs w:val="20"/>
          <w:vertAlign w:val="superscript"/>
        </w:rPr>
        <w:t>00</w:t>
      </w:r>
      <w:r>
        <w:rPr>
          <w:rFonts w:ascii="Times New Roman" w:hAnsi="Times New Roman"/>
          <w:color w:val="000000"/>
          <w:sz w:val="20"/>
          <w:szCs w:val="20"/>
        </w:rPr>
        <w:t xml:space="preserve"> WIB.</w:t>
      </w:r>
    </w:p>
  </w:footnote>
  <w:footnote w:id="23">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w:t>
      </w:r>
      <w:r>
        <w:rPr>
          <w:rFonts w:ascii="Times New Roman" w:hAnsi="Times New Roman"/>
          <w:color w:val="000000"/>
          <w:sz w:val="20"/>
          <w:szCs w:val="20"/>
          <w:lang w:val="id-ID"/>
        </w:rPr>
        <w:t>I</w:t>
      </w:r>
      <w:r>
        <w:rPr>
          <w:rStyle w:val="style4115"/>
          <w:rFonts w:ascii="Times New Roman" w:hAnsi="Times New Roman"/>
          <w:color w:val="000000"/>
          <w:sz w:val="20"/>
          <w:szCs w:val="20"/>
        </w:rPr>
        <w:t>bide</w:t>
      </w:r>
      <w:r>
        <w:rPr>
          <w:rStyle w:val="style4115"/>
          <w:rFonts w:ascii="Times New Roman" w:hAnsi="Times New Roman"/>
          <w:color w:val="000000"/>
          <w:sz w:val="20"/>
          <w:szCs w:val="20"/>
          <w:lang w:val="id-ID"/>
        </w:rPr>
        <w:t xml:space="preserve">m, </w:t>
      </w:r>
      <w:r>
        <w:rPr>
          <w:rStyle w:val="style4115"/>
          <w:rFonts w:ascii="Times New Roman" w:hAnsi="Times New Roman"/>
          <w:color w:val="000000"/>
          <w:sz w:val="20"/>
          <w:szCs w:val="20"/>
        </w:rPr>
        <w:t xml:space="preserve"> </w:t>
      </w:r>
      <w:r>
        <w:rPr>
          <w:rStyle w:val="style4115"/>
          <w:rFonts w:ascii="Times New Roman" w:hAnsi="Times New Roman"/>
          <w:color w:val="000000"/>
          <w:sz w:val="20"/>
          <w:szCs w:val="20"/>
          <w:lang w:val="id-ID"/>
        </w:rPr>
        <w:t>hlm</w:t>
      </w:r>
      <w:r>
        <w:rPr>
          <w:rStyle w:val="style4115"/>
          <w:rFonts w:ascii="Times New Roman" w:hAnsi="Times New Roman"/>
          <w:color w:val="000000"/>
          <w:sz w:val="20"/>
          <w:szCs w:val="20"/>
        </w:rPr>
        <w:t>. 174.</w:t>
      </w:r>
    </w:p>
  </w:footnote>
  <w:footnote w:id="24">
    <w:p>
      <w:pPr>
        <w:pStyle w:val="style157"/>
        <w:ind w:firstLine="567"/>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w:t>
      </w:r>
      <w:r>
        <w:rPr>
          <w:rStyle w:val="style4115"/>
          <w:rFonts w:ascii="Times New Roman" w:hAnsi="Times New Roman"/>
          <w:color w:val="000000"/>
          <w:sz w:val="20"/>
          <w:szCs w:val="20"/>
        </w:rPr>
        <w:t xml:space="preserve">Ibidem. </w:t>
      </w:r>
      <w:r>
        <w:rPr>
          <w:rStyle w:val="style4115"/>
          <w:rFonts w:ascii="Times New Roman" w:hAnsi="Times New Roman"/>
          <w:color w:val="000000"/>
          <w:sz w:val="20"/>
          <w:szCs w:val="20"/>
          <w:lang w:val="id-ID"/>
        </w:rPr>
        <w:t>hlm</w:t>
      </w:r>
      <w:r>
        <w:rPr>
          <w:rStyle w:val="style4115"/>
          <w:rFonts w:ascii="Times New Roman" w:hAnsi="Times New Roman"/>
          <w:color w:val="000000"/>
          <w:sz w:val="20"/>
          <w:szCs w:val="20"/>
        </w:rPr>
        <w:t>. 174.</w:t>
      </w:r>
    </w:p>
  </w:footnote>
  <w:footnote w:id="25">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Clive Gray dkk</w:t>
      </w:r>
      <w:r>
        <w:rPr>
          <w:rFonts w:ascii="Times New Roman" w:hAnsi="Times New Roman"/>
          <w:i/>
          <w:color w:val="000000"/>
          <w:sz w:val="20"/>
          <w:szCs w:val="20"/>
        </w:rPr>
        <w:t xml:space="preserve">., </w:t>
      </w:r>
      <w:r>
        <w:rPr>
          <w:rFonts w:ascii="Times New Roman" w:hAnsi="Times New Roman"/>
          <w:i/>
          <w:color w:val="000000"/>
          <w:sz w:val="20"/>
          <w:szCs w:val="20"/>
        </w:rPr>
        <w:t>Pengantar Evaluasi Proyek</w:t>
      </w:r>
      <w:r>
        <w:rPr>
          <w:rFonts w:ascii="Times New Roman" w:hAnsi="Times New Roman"/>
          <w:color w:val="000000"/>
          <w:sz w:val="20"/>
          <w:szCs w:val="20"/>
        </w:rPr>
        <w:t>,</w:t>
      </w:r>
      <w:r>
        <w:rPr>
          <w:rFonts w:ascii="Times New Roman" w:hAnsi="Times New Roman"/>
          <w:color w:val="000000"/>
          <w:sz w:val="20"/>
          <w:szCs w:val="20"/>
        </w:rPr>
        <w:t xml:space="preserve"> 1993</w:t>
      </w:r>
      <w:r>
        <w:rPr>
          <w:rFonts w:ascii="Times New Roman" w:hAnsi="Times New Roman"/>
          <w:color w:val="000000"/>
          <w:sz w:val="20"/>
          <w:szCs w:val="20"/>
        </w:rPr>
        <w:t xml:space="preserve">, </w:t>
      </w:r>
      <w:r>
        <w:rPr>
          <w:rFonts w:ascii="Times New Roman" w:hAnsi="Times New Roman"/>
          <w:color w:val="000000"/>
          <w:sz w:val="20"/>
          <w:szCs w:val="20"/>
        </w:rPr>
        <w:t>Gramedia Pustaka Utama, Jakarta.</w:t>
      </w:r>
    </w:p>
  </w:footnote>
  <w:footnote w:id="26">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w:t>
      </w:r>
      <w:r>
        <w:rPr>
          <w:rFonts w:ascii="Times New Roman" w:hAnsi="Times New Roman"/>
          <w:color w:val="000000"/>
          <w:sz w:val="20"/>
          <w:szCs w:val="20"/>
          <w:lang w:val="de-DE"/>
        </w:rPr>
        <w:t xml:space="preserve">Mark, Melvin </w:t>
      </w:r>
      <w:r>
        <w:rPr>
          <w:rFonts w:ascii="Times New Roman" w:hAnsi="Times New Roman"/>
          <w:color w:val="000000"/>
          <w:sz w:val="20"/>
          <w:szCs w:val="20"/>
          <w:lang w:val="de-DE"/>
        </w:rPr>
        <w:t>M., Gary T Henry, George Julnes,</w:t>
      </w:r>
      <w:r>
        <w:rPr>
          <w:rFonts w:ascii="Times New Roman" w:hAnsi="Times New Roman"/>
          <w:color w:val="000000"/>
          <w:sz w:val="20"/>
          <w:szCs w:val="20"/>
          <w:lang w:val="de-DE"/>
        </w:rPr>
        <w:t xml:space="preserve"> </w:t>
      </w:r>
      <w:r>
        <w:rPr>
          <w:rFonts w:ascii="Times New Roman" w:hAnsi="Times New Roman"/>
          <w:color w:val="000000"/>
          <w:sz w:val="20"/>
          <w:szCs w:val="20"/>
        </w:rPr>
        <w:t xml:space="preserve">2000, </w:t>
      </w:r>
      <w:r>
        <w:rPr>
          <w:rFonts w:ascii="Times New Roman" w:hAnsi="Times New Roman"/>
          <w:i/>
          <w:color w:val="000000"/>
          <w:sz w:val="20"/>
          <w:szCs w:val="20"/>
        </w:rPr>
        <w:t>Evaluation</w:t>
      </w:r>
      <w:r>
        <w:rPr>
          <w:rFonts w:ascii="Times New Roman" w:hAnsi="Times New Roman"/>
          <w:i/>
          <w:color w:val="000000"/>
          <w:sz w:val="20"/>
          <w:szCs w:val="20"/>
        </w:rPr>
        <w:t>; an integrated framework for understanding, guiding and improving public and non profit policies and programs</w:t>
      </w:r>
      <w:r>
        <w:rPr>
          <w:rFonts w:ascii="Times New Roman" w:hAnsi="Times New Roman"/>
          <w:color w:val="000000"/>
          <w:sz w:val="20"/>
          <w:szCs w:val="20"/>
        </w:rPr>
        <w:t xml:space="preserve">, </w:t>
      </w:r>
      <w:r>
        <w:rPr>
          <w:rFonts w:ascii="Times New Roman" w:hAnsi="Times New Roman"/>
          <w:color w:val="000000"/>
          <w:sz w:val="20"/>
          <w:szCs w:val="20"/>
        </w:rPr>
        <w:t>Jossey-bass Inc. 350 Sansome St</w:t>
      </w:r>
      <w:r>
        <w:rPr>
          <w:rFonts w:ascii="Times New Roman" w:hAnsi="Times New Roman"/>
          <w:color w:val="000000"/>
          <w:sz w:val="20"/>
          <w:szCs w:val="20"/>
        </w:rPr>
        <w:t>reet, San Francisco, California,</w:t>
      </w:r>
      <w:r>
        <w:rPr>
          <w:rFonts w:ascii="Times New Roman" w:hAnsi="Times New Roman"/>
          <w:color w:val="000000"/>
          <w:sz w:val="20"/>
          <w:szCs w:val="20"/>
        </w:rPr>
        <w:t xml:space="preserve"> </w:t>
      </w:r>
      <w:r>
        <w:rPr>
          <w:rFonts w:ascii="Times New Roman" w:hAnsi="Times New Roman"/>
          <w:color w:val="000000"/>
          <w:sz w:val="20"/>
          <w:szCs w:val="20"/>
        </w:rPr>
        <w:t>h</w:t>
      </w:r>
      <w:r>
        <w:rPr>
          <w:rFonts w:ascii="Times New Roman" w:hAnsi="Times New Roman"/>
          <w:color w:val="000000"/>
          <w:sz w:val="20"/>
          <w:szCs w:val="20"/>
        </w:rPr>
        <w:t>lm. 3.</w:t>
      </w:r>
    </w:p>
  </w:footnote>
  <w:footnote w:id="27">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Ibid</w:t>
      </w:r>
      <w:r>
        <w:rPr>
          <w:rFonts w:ascii="Times New Roman" w:hAnsi="Times New Roman"/>
          <w:color w:val="000000"/>
          <w:sz w:val="20"/>
          <w:szCs w:val="20"/>
          <w:lang w:val="id-ID"/>
        </w:rPr>
        <w:t>em</w:t>
      </w:r>
      <w:r>
        <w:rPr>
          <w:rFonts w:ascii="Times New Roman" w:hAnsi="Times New Roman"/>
          <w:color w:val="000000"/>
          <w:sz w:val="20"/>
          <w:szCs w:val="20"/>
          <w:lang w:val="id-ID"/>
        </w:rPr>
        <w:t>, h</w:t>
      </w:r>
      <w:r>
        <w:rPr>
          <w:rFonts w:ascii="Times New Roman" w:hAnsi="Times New Roman"/>
          <w:color w:val="000000"/>
          <w:sz w:val="20"/>
          <w:szCs w:val="20"/>
        </w:rPr>
        <w:t>lm. 3.</w:t>
      </w:r>
    </w:p>
  </w:footnote>
  <w:footnote w:id="28">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Ibidem</w:t>
      </w:r>
      <w:r>
        <w:rPr>
          <w:rFonts w:ascii="Times New Roman" w:hAnsi="Times New Roman"/>
          <w:color w:val="000000"/>
          <w:sz w:val="20"/>
          <w:szCs w:val="20"/>
          <w:lang w:val="id-ID"/>
        </w:rPr>
        <w:t>, h</w:t>
      </w:r>
      <w:r>
        <w:rPr>
          <w:rFonts w:ascii="Times New Roman" w:hAnsi="Times New Roman"/>
          <w:color w:val="000000"/>
          <w:sz w:val="20"/>
          <w:szCs w:val="20"/>
        </w:rPr>
        <w:t>lm. 15.</w:t>
      </w:r>
    </w:p>
  </w:footnote>
  <w:footnote w:id="29">
    <w:p>
      <w:pPr>
        <w:pStyle w:val="style157"/>
        <w:ind w:firstLine="567"/>
        <w:jc w:val="both"/>
        <w:rPr>
          <w:rFonts w:ascii="Times New Roman" w:hAnsi="Times New Roman"/>
          <w:color w:val="000000"/>
          <w:sz w:val="20"/>
          <w:szCs w:val="20"/>
        </w:rPr>
      </w:pPr>
      <w:r>
        <w:rPr>
          <w:rStyle w:val="style38"/>
          <w:rFonts w:ascii="Times New Roman" w:eastAsia="宋体" w:hAnsi="Times New Roman"/>
          <w:color w:val="000000"/>
          <w:sz w:val="20"/>
          <w:szCs w:val="20"/>
        </w:rPr>
        <w:footnoteRef/>
      </w:r>
      <w:r>
        <w:rPr>
          <w:rFonts w:ascii="Times New Roman" w:hAnsi="Times New Roman"/>
          <w:color w:val="000000"/>
          <w:sz w:val="20"/>
          <w:szCs w:val="20"/>
        </w:rPr>
        <w:t xml:space="preserve"> </w:t>
      </w:r>
      <w:r>
        <w:rPr>
          <w:rFonts w:ascii="Times New Roman" w:hAnsi="Times New Roman"/>
          <w:color w:val="000000"/>
          <w:sz w:val="20"/>
          <w:szCs w:val="20"/>
          <w:lang w:val="id-ID"/>
        </w:rPr>
        <w:t>“</w:t>
      </w:r>
      <w:r>
        <w:rPr>
          <w:rFonts w:ascii="Times New Roman" w:eastAsia="Calibri" w:hAnsi="Times New Roman"/>
          <w:color w:val="000000"/>
          <w:sz w:val="20"/>
          <w:szCs w:val="20"/>
        </w:rPr>
        <w:t xml:space="preserve">Pengertian </w:t>
      </w:r>
      <w:r>
        <w:rPr>
          <w:rFonts w:ascii="Times New Roman" w:eastAsia="Calibri" w:hAnsi="Times New Roman"/>
          <w:color w:val="000000"/>
          <w:sz w:val="20"/>
          <w:szCs w:val="20"/>
        </w:rPr>
        <w:t>s</w:t>
      </w:r>
      <w:r>
        <w:rPr>
          <w:rFonts w:ascii="Times New Roman" w:eastAsia="Calibri" w:hAnsi="Times New Roman"/>
          <w:color w:val="000000"/>
          <w:sz w:val="20"/>
          <w:szCs w:val="20"/>
          <w:lang w:val="id-ID"/>
        </w:rPr>
        <w:t>i</w:t>
      </w:r>
      <w:r>
        <w:rPr>
          <w:rFonts w:ascii="Times New Roman" w:eastAsia="Calibri" w:hAnsi="Times New Roman"/>
          <w:color w:val="000000"/>
          <w:sz w:val="20"/>
          <w:szCs w:val="20"/>
        </w:rPr>
        <w:t>stem</w:t>
      </w:r>
      <w:r>
        <w:rPr>
          <w:rFonts w:ascii="Times New Roman" w:eastAsia="Calibri" w:hAnsi="Times New Roman"/>
          <w:color w:val="000000"/>
          <w:sz w:val="20"/>
          <w:szCs w:val="20"/>
          <w:lang w:val="id-ID"/>
        </w:rPr>
        <w:t>”, ‘</w:t>
      </w:r>
      <w:r>
        <w:rPr>
          <w:rFonts w:ascii="Times New Roman" w:eastAsia="Calibri" w:hAnsi="Times New Roman"/>
          <w:color w:val="000000"/>
          <w:sz w:val="20"/>
          <w:szCs w:val="20"/>
        </w:rPr>
        <w:t>wiki</w:t>
      </w:r>
      <w:r>
        <w:rPr>
          <w:rFonts w:ascii="Times New Roman" w:eastAsia="Calibri" w:hAnsi="Times New Roman"/>
          <w:color w:val="000000"/>
          <w:sz w:val="20"/>
          <w:szCs w:val="20"/>
          <w:lang w:val="id-ID"/>
        </w:rPr>
        <w:t>’, http://wiki.com</w:t>
      </w:r>
      <w:r>
        <w:rPr>
          <w:rFonts w:ascii="Times New Roman" w:eastAsia="Calibri" w:hAnsi="Times New Roman"/>
          <w:color w:val="000000"/>
          <w:sz w:val="20"/>
          <w:szCs w:val="20"/>
          <w:lang w:val="id-ID"/>
        </w:rPr>
        <w:t>/diakses, Sabtu,</w:t>
      </w:r>
      <w:r>
        <w:rPr>
          <w:rFonts w:ascii="Times New Roman" w:eastAsia="Calibri" w:hAnsi="Times New Roman"/>
          <w:color w:val="000000"/>
          <w:sz w:val="20"/>
          <w:szCs w:val="20"/>
        </w:rPr>
        <w:t xml:space="preserve"> 9</w:t>
      </w:r>
      <w:r>
        <w:rPr>
          <w:rFonts w:ascii="Times New Roman" w:eastAsia="Calibri" w:hAnsi="Times New Roman"/>
          <w:color w:val="000000"/>
          <w:sz w:val="20"/>
          <w:szCs w:val="20"/>
          <w:lang w:val="id-ID"/>
        </w:rPr>
        <w:t xml:space="preserve"> Februari </w:t>
      </w:r>
      <w:r>
        <w:rPr>
          <w:rFonts w:ascii="Times New Roman" w:eastAsia="Calibri" w:hAnsi="Times New Roman"/>
          <w:color w:val="000000"/>
          <w:sz w:val="20"/>
          <w:szCs w:val="20"/>
        </w:rPr>
        <w:t>2019</w:t>
      </w:r>
      <w:r>
        <w:rPr>
          <w:rFonts w:ascii="Times New Roman" w:eastAsia="Calibri" w:hAnsi="Times New Roman"/>
          <w:color w:val="000000"/>
          <w:sz w:val="20"/>
          <w:szCs w:val="20"/>
        </w:rPr>
        <w:t>.</w:t>
      </w: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exact" w:line="200"/>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B64FB94"/>
    <w:lvl w:ilvl="0" w:tplc="33E4399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B9F8FFE4"/>
    <w:lvl w:ilvl="0" w:tplc="04210015">
      <w:start w:val="1"/>
      <w:numFmt w:val="upp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nsid w:val="00000002"/>
    <w:multiLevelType w:val="hybridMultilevel"/>
    <w:tmpl w:val="BCDCDA8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0000003"/>
    <w:multiLevelType w:val="hybridMultilevel"/>
    <w:tmpl w:val="BD9A6826"/>
    <w:lvl w:ilvl="0" w:tplc="0409000F">
      <w:start w:val="1"/>
      <w:numFmt w:val="decimal"/>
      <w:lvlText w:val="%1."/>
      <w:lvlJc w:val="left"/>
      <w:pPr>
        <w:ind w:left="720" w:hanging="360"/>
      </w:pPr>
      <w:rPr>
        <w:rFonts w:hint="default"/>
      </w:rPr>
    </w:lvl>
    <w:lvl w:ilvl="1" w:tplc="D9C27BB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69160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hybridMultilevel"/>
    <w:tmpl w:val="240C619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00000006"/>
    <w:multiLevelType w:val="hybridMultilevel"/>
    <w:tmpl w:val="B4D6E40E"/>
    <w:lvl w:ilvl="0" w:tplc="04090019">
      <w:start w:val="1"/>
      <w:numFmt w:val="lowerLetter"/>
      <w:lvlText w:val="%1."/>
      <w:lvlJc w:val="left"/>
      <w:pPr>
        <w:ind w:left="720" w:hanging="360"/>
      </w:pPr>
      <w:rPr>
        <w:rFonts w:hint="default"/>
      </w:rPr>
    </w:lvl>
    <w:lvl w:ilvl="1" w:tplc="99A6E36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8C5E8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56F0B192"/>
    <w:lvl w:ilvl="0" w:tplc="04090019">
      <w:start w:val="1"/>
      <w:numFmt w:val="lowerLetter"/>
      <w:lvlText w:val="%1."/>
      <w:lvlJc w:val="left"/>
      <w:pPr>
        <w:ind w:left="720" w:hanging="360"/>
      </w:pPr>
      <w:rPr>
        <w:rFonts w:hint="default"/>
      </w:rPr>
    </w:lvl>
    <w:lvl w:ilvl="1" w:tplc="99A6E36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E8DCC4CC"/>
    <w:lvl w:ilvl="0" w:tplc="6640461C">
      <w:start w:val="1"/>
      <w:numFmt w:val="bullet"/>
      <w:pStyle w:val="style411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B0401FEE"/>
    <w:lvl w:ilvl="0" w:tplc="04090019">
      <w:start w:val="1"/>
      <w:numFmt w:val="lowerLetter"/>
      <w:lvlText w:val="%1."/>
      <w:lvlJc w:val="left"/>
      <w:pPr>
        <w:tabs>
          <w:tab w:val="left" w:leader="none" w:pos="720"/>
        </w:tabs>
        <w:ind w:left="720" w:hanging="360"/>
      </w:pPr>
      <w:rPr>
        <w:rFonts w:hint="default"/>
      </w:rPr>
    </w:lvl>
    <w:lvl w:ilvl="1" w:tplc="D33AF438">
      <w:start w:val="1"/>
      <w:numFmt w:val="lowerLetter"/>
      <w:lvlText w:val="%2."/>
      <w:lvlJc w:val="left"/>
      <w:pPr>
        <w:tabs>
          <w:tab w:val="left" w:leader="none" w:pos="360"/>
        </w:tabs>
        <w:ind w:left="360" w:hanging="360"/>
      </w:pPr>
      <w:rPr>
        <w:rFonts w:hint="default"/>
      </w:rPr>
    </w:lvl>
    <w:lvl w:ilvl="2" w:tplc="D33AF438">
      <w:start w:val="1"/>
      <w:numFmt w:val="lowerLetter"/>
      <w:lvlText w:val="%3."/>
      <w:lvlJc w:val="left"/>
      <w:pPr>
        <w:tabs>
          <w:tab w:val="left" w:leader="none" w:pos="2340"/>
        </w:tabs>
        <w:ind w:left="2340" w:hanging="360"/>
      </w:pPr>
      <w:rPr>
        <w:rFonts w:hint="default"/>
      </w:r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1">
    <w:nsid w:val="0000000B"/>
    <w:multiLevelType w:val="multilevel"/>
    <w:tmpl w:val="C2A2352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2">
    <w:nsid w:val="0000000C"/>
    <w:multiLevelType w:val="hybridMultilevel"/>
    <w:tmpl w:val="D39A408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0000000D"/>
    <w:multiLevelType w:val="hybridMultilevel"/>
    <w:tmpl w:val="7EE82646"/>
    <w:lvl w:ilvl="0" w:tplc="04090019">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4">
    <w:nsid w:val="0000000E"/>
    <w:multiLevelType w:val="hybridMultilevel"/>
    <w:tmpl w:val="F43EAD08"/>
    <w:lvl w:ilvl="0" w:tplc="04090019">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15">
    <w:nsid w:val="0000000F"/>
    <w:multiLevelType w:val="multilevel"/>
    <w:tmpl w:val="2F8A518E"/>
    <w:lvl w:ilvl="0">
      <w:start w:val="1"/>
      <w:numFmt w:val="decimal"/>
      <w:pStyle w:val="style1"/>
      <w:lvlText w:val="%1."/>
      <w:lvlJc w:val="left"/>
      <w:pPr>
        <w:tabs>
          <w:tab w:val="left" w:leader="none" w:pos="720"/>
        </w:tabs>
        <w:ind w:left="720" w:hanging="720"/>
      </w:pPr>
    </w:lvl>
    <w:lvl w:ilvl="1">
      <w:start w:val="1"/>
      <w:numFmt w:val="decimal"/>
      <w:pStyle w:val="style2"/>
      <w:lvlText w:val="%2."/>
      <w:lvlJc w:val="left"/>
      <w:pPr>
        <w:tabs>
          <w:tab w:val="left" w:leader="none" w:pos="1440"/>
        </w:tabs>
        <w:ind w:left="1440" w:hanging="720"/>
      </w:pPr>
    </w:lvl>
    <w:lvl w:ilvl="2">
      <w:start w:val="1"/>
      <w:numFmt w:val="decimal"/>
      <w:pStyle w:val="style3"/>
      <w:lvlText w:val="%3."/>
      <w:lvlJc w:val="left"/>
      <w:pPr>
        <w:tabs>
          <w:tab w:val="left" w:leader="none" w:pos="2160"/>
        </w:tabs>
        <w:ind w:left="2160" w:hanging="720"/>
      </w:pPr>
    </w:lvl>
    <w:lvl w:ilvl="3">
      <w:start w:val="1"/>
      <w:numFmt w:val="decimal"/>
      <w:pStyle w:val="style4"/>
      <w:lvlText w:val="%4."/>
      <w:lvlJc w:val="left"/>
      <w:pPr>
        <w:tabs>
          <w:tab w:val="left" w:leader="none" w:pos="2880"/>
        </w:tabs>
        <w:ind w:left="2880" w:hanging="720"/>
      </w:pPr>
    </w:lvl>
    <w:lvl w:ilvl="4">
      <w:start w:val="1"/>
      <w:numFmt w:val="decimal"/>
      <w:pStyle w:val="style5"/>
      <w:lvlText w:val="%5."/>
      <w:lvlJc w:val="left"/>
      <w:pPr>
        <w:tabs>
          <w:tab w:val="left" w:leader="none" w:pos="3600"/>
        </w:tabs>
        <w:ind w:left="3600" w:hanging="720"/>
      </w:pPr>
    </w:lvl>
    <w:lvl w:ilvl="5">
      <w:start w:val="1"/>
      <w:numFmt w:val="decimal"/>
      <w:pStyle w:val="style6"/>
      <w:lvlText w:val="%6."/>
      <w:lvlJc w:val="left"/>
      <w:pPr>
        <w:tabs>
          <w:tab w:val="left" w:leader="none" w:pos="4320"/>
        </w:tabs>
        <w:ind w:left="4320" w:hanging="720"/>
      </w:pPr>
    </w:lvl>
    <w:lvl w:ilvl="6">
      <w:start w:val="1"/>
      <w:numFmt w:val="decimal"/>
      <w:pStyle w:val="style7"/>
      <w:lvlText w:val="%7."/>
      <w:lvlJc w:val="left"/>
      <w:pPr>
        <w:tabs>
          <w:tab w:val="left" w:leader="none" w:pos="5040"/>
        </w:tabs>
        <w:ind w:left="5040" w:hanging="720"/>
      </w:pPr>
    </w:lvl>
    <w:lvl w:ilvl="7">
      <w:start w:val="1"/>
      <w:numFmt w:val="decimal"/>
      <w:pStyle w:val="style8"/>
      <w:lvlText w:val="%8."/>
      <w:lvlJc w:val="left"/>
      <w:pPr>
        <w:tabs>
          <w:tab w:val="left" w:leader="none" w:pos="5760"/>
        </w:tabs>
        <w:ind w:left="5760" w:hanging="720"/>
      </w:pPr>
    </w:lvl>
    <w:lvl w:ilvl="8">
      <w:start w:val="1"/>
      <w:numFmt w:val="decimal"/>
      <w:pStyle w:val="style9"/>
      <w:lvlText w:val="%9."/>
      <w:lvlJc w:val="left"/>
      <w:pPr>
        <w:tabs>
          <w:tab w:val="left" w:leader="none" w:pos="6480"/>
        </w:tabs>
        <w:ind w:left="6480" w:hanging="720"/>
      </w:pPr>
    </w:lvl>
  </w:abstractNum>
  <w:abstractNum w:abstractNumId="16">
    <w:nsid w:val="00000010"/>
    <w:multiLevelType w:val="hybridMultilevel"/>
    <w:tmpl w:val="E4B45C94"/>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3682A52E">
      <w:start w:val="1"/>
      <w:numFmt w:val="upperLetter"/>
      <w:lvlText w:val="%3."/>
      <w:lvlJc w:val="left"/>
      <w:pPr>
        <w:ind w:left="36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0000011"/>
    <w:multiLevelType w:val="hybridMultilevel"/>
    <w:tmpl w:val="619890C6"/>
    <w:lvl w:ilvl="0" w:tplc="1D20B08E">
      <w:start w:val="3"/>
      <w:numFmt w:val="upperLetter"/>
      <w:lvlText w:val="%1."/>
      <w:lvlJc w:val="left"/>
      <w:pPr>
        <w:ind w:left="720" w:hanging="360"/>
      </w:pPr>
      <w:rPr>
        <w:rFonts w:hint="default"/>
      </w:rPr>
    </w:lvl>
    <w:lvl w:ilvl="1" w:tplc="8EFA9BBC">
      <w:start w:val="1"/>
      <w:numFmt w:val="decimal"/>
      <w:lvlText w:val="%2."/>
      <w:lvlJc w:val="left"/>
      <w:pPr>
        <w:ind w:left="180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00000012"/>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nsid w:val="00000013"/>
    <w:multiLevelType w:val="hybridMultilevel"/>
    <w:tmpl w:val="9BC084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E1E0000E"/>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5"/>
  </w:num>
  <w:num w:numId="2">
    <w:abstractNumId w:val="9"/>
  </w:num>
  <w:num w:numId="3">
    <w:abstractNumId w:val="0"/>
  </w:num>
  <w:num w:numId="4">
    <w:abstractNumId w:val="18"/>
  </w:num>
  <w:num w:numId="5">
    <w:abstractNumId w:val="11"/>
  </w:num>
  <w:num w:numId="6">
    <w:abstractNumId w:val="4"/>
  </w:num>
  <w:num w:numId="7">
    <w:abstractNumId w:val="12"/>
  </w:num>
  <w:num w:numId="8">
    <w:abstractNumId w:val="3"/>
  </w:num>
  <w:num w:numId="9">
    <w:abstractNumId w:val="8"/>
  </w:num>
  <w:num w:numId="10">
    <w:abstractNumId w:val="6"/>
  </w:num>
  <w:num w:numId="11">
    <w:abstractNumId w:val="17"/>
  </w:num>
  <w:num w:numId="12">
    <w:abstractNumId w:val="7"/>
  </w:num>
  <w:num w:numId="13">
    <w:abstractNumId w:val="20"/>
  </w:num>
  <w:num w:numId="14">
    <w:abstractNumId w:val="1"/>
  </w:num>
  <w:num w:numId="15">
    <w:abstractNumId w:val="19"/>
  </w:num>
  <w:num w:numId="16">
    <w:abstractNumId w:val="10"/>
  </w:num>
  <w:num w:numId="17">
    <w:abstractNumId w:val="13"/>
  </w:num>
  <w:num w:numId="18">
    <w:abstractNumId w:val="14"/>
  </w:num>
  <w:num w:numId="19">
    <w:abstractNumId w:val="2"/>
  </w:num>
  <w:num w:numId="20">
    <w:abstractNumId w:val="16"/>
  </w:num>
  <w:num w:numId="21">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numPr>
        <w:ilvl w:val="0"/>
        <w:numId w:val="1"/>
      </w:numPr>
      <w:spacing w:before="240" w:after="60"/>
      <w:outlineLvl w:val="0"/>
    </w:pPr>
    <w:rPr>
      <w:rFonts w:ascii="Cambria" w:cs="宋体" w:eastAsia="宋体" w:hAnsi="Cambria"/>
      <w:b/>
      <w:bCs/>
      <w:kern w:val="32"/>
      <w:sz w:val="32"/>
      <w:szCs w:val="32"/>
    </w:rPr>
  </w:style>
  <w:style w:type="paragraph" w:styleId="style2">
    <w:name w:val="heading 2"/>
    <w:basedOn w:val="style0"/>
    <w:next w:val="style0"/>
    <w:link w:val="style4098"/>
    <w:qFormat/>
    <w:uiPriority w:val="9"/>
    <w:pPr>
      <w:keepNext/>
      <w:numPr>
        <w:ilvl w:val="1"/>
        <w:numId w:val="1"/>
      </w:numPr>
      <w:spacing w:before="240" w:after="60"/>
      <w:outlineLvl w:val="1"/>
    </w:pPr>
    <w:rPr>
      <w:rFonts w:ascii="Cambria" w:cs="宋体" w:eastAsia="宋体" w:hAnsi="Cambria"/>
      <w:b/>
      <w:bCs/>
      <w:i/>
      <w:iCs/>
      <w:sz w:val="28"/>
      <w:szCs w:val="28"/>
    </w:rPr>
  </w:style>
  <w:style w:type="paragraph" w:styleId="style3">
    <w:name w:val="heading 3"/>
    <w:basedOn w:val="style0"/>
    <w:next w:val="style0"/>
    <w:link w:val="style4099"/>
    <w:qFormat/>
    <w:uiPriority w:val="9"/>
    <w:pPr>
      <w:keepNext/>
      <w:numPr>
        <w:ilvl w:val="2"/>
        <w:numId w:val="1"/>
      </w:numPr>
      <w:spacing w:before="240" w:after="60"/>
      <w:outlineLvl w:val="2"/>
    </w:pPr>
    <w:rPr>
      <w:rFonts w:ascii="Cambria" w:cs="宋体" w:eastAsia="宋体" w:hAnsi="Cambria"/>
      <w:b/>
      <w:bCs/>
      <w:sz w:val="26"/>
      <w:szCs w:val="26"/>
    </w:rPr>
  </w:style>
  <w:style w:type="paragraph" w:styleId="style4">
    <w:name w:val="heading 4"/>
    <w:basedOn w:val="style0"/>
    <w:next w:val="style0"/>
    <w:link w:val="style4100"/>
    <w:qFormat/>
    <w:uiPriority w:val="9"/>
    <w:pPr>
      <w:keepNext/>
      <w:numPr>
        <w:ilvl w:val="3"/>
        <w:numId w:val="1"/>
      </w:numPr>
      <w:spacing w:before="240" w:after="60"/>
      <w:outlineLvl w:val="3"/>
    </w:pPr>
    <w:rPr>
      <w:rFonts w:ascii="Calibri" w:cs="宋体" w:eastAsia="宋体" w:hAnsi="Calibri"/>
      <w:b/>
      <w:bCs/>
      <w:sz w:val="28"/>
      <w:szCs w:val="28"/>
    </w:rPr>
  </w:style>
  <w:style w:type="paragraph" w:styleId="style5">
    <w:name w:val="heading 5"/>
    <w:basedOn w:val="style0"/>
    <w:next w:val="style0"/>
    <w:link w:val="style4101"/>
    <w:qFormat/>
    <w:uiPriority w:val="9"/>
    <w:pPr>
      <w:numPr>
        <w:ilvl w:val="4"/>
        <w:numId w:val="1"/>
      </w:numPr>
      <w:spacing w:before="240" w:after="60"/>
      <w:outlineLvl w:val="4"/>
    </w:pPr>
    <w:rPr>
      <w:rFonts w:ascii="Calibri" w:cs="宋体" w:eastAsia="宋体" w:hAnsi="Calibri"/>
      <w:b/>
      <w:bCs/>
      <w:i/>
      <w:iCs/>
      <w:sz w:val="26"/>
      <w:szCs w:val="26"/>
    </w:rPr>
  </w:style>
  <w:style w:type="paragraph" w:styleId="style6">
    <w:name w:val="heading 6"/>
    <w:basedOn w:val="style0"/>
    <w:next w:val="style0"/>
    <w:link w:val="style4102"/>
    <w:qFormat/>
    <w:pPr>
      <w:numPr>
        <w:ilvl w:val="5"/>
        <w:numId w:val="1"/>
      </w:numPr>
      <w:spacing w:before="240" w:after="60"/>
      <w:outlineLvl w:val="5"/>
    </w:pPr>
    <w:rPr>
      <w:b/>
      <w:bCs/>
      <w:sz w:val="22"/>
      <w:szCs w:val="22"/>
    </w:rPr>
  </w:style>
  <w:style w:type="paragraph" w:styleId="style7">
    <w:name w:val="heading 7"/>
    <w:basedOn w:val="style0"/>
    <w:next w:val="style0"/>
    <w:link w:val="style4103"/>
    <w:qFormat/>
    <w:uiPriority w:val="9"/>
    <w:pPr>
      <w:numPr>
        <w:ilvl w:val="6"/>
        <w:numId w:val="1"/>
      </w:numPr>
      <w:spacing w:before="240" w:after="60"/>
      <w:outlineLvl w:val="6"/>
    </w:pPr>
    <w:rPr>
      <w:rFonts w:ascii="Calibri" w:cs="宋体" w:eastAsia="宋体" w:hAnsi="Calibri"/>
      <w:sz w:val="24"/>
      <w:szCs w:val="24"/>
    </w:rPr>
  </w:style>
  <w:style w:type="paragraph" w:styleId="style8">
    <w:name w:val="heading 8"/>
    <w:basedOn w:val="style0"/>
    <w:next w:val="style0"/>
    <w:link w:val="style4104"/>
    <w:qFormat/>
    <w:uiPriority w:val="9"/>
    <w:pPr>
      <w:numPr>
        <w:ilvl w:val="7"/>
        <w:numId w:val="1"/>
      </w:numPr>
      <w:spacing w:before="240" w:after="60"/>
      <w:outlineLvl w:val="7"/>
    </w:pPr>
    <w:rPr>
      <w:rFonts w:ascii="Calibri" w:cs="宋体" w:eastAsia="宋体" w:hAnsi="Calibri"/>
      <w:i/>
      <w:iCs/>
      <w:sz w:val="24"/>
      <w:szCs w:val="24"/>
    </w:rPr>
  </w:style>
  <w:style w:type="paragraph" w:styleId="style9">
    <w:name w:val="heading 9"/>
    <w:basedOn w:val="style0"/>
    <w:next w:val="style0"/>
    <w:link w:val="style4105"/>
    <w:qFormat/>
    <w:uiPriority w:val="9"/>
    <w:pPr>
      <w:numPr>
        <w:ilvl w:val="8"/>
        <w:numId w:val="1"/>
      </w:numPr>
      <w:spacing w:before="240" w:after="60"/>
      <w:outlineLvl w:val="8"/>
    </w:pPr>
    <w:rPr>
      <w:rFonts w:ascii="Cambria" w:cs="宋体" w:eastAsia="宋体" w:hAnsi="Cambria"/>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20a099ed-c9d0-48e3-a009-3640539221b9"/>
    <w:basedOn w:val="style65"/>
    <w:next w:val="style4097"/>
    <w:link w:val="style1"/>
    <w:uiPriority w:val="9"/>
    <w:rPr>
      <w:rFonts w:ascii="Cambria" w:cs="宋体" w:eastAsia="宋体" w:hAnsi="Cambria"/>
      <w:b/>
      <w:bCs/>
      <w:kern w:val="32"/>
      <w:sz w:val="32"/>
      <w:szCs w:val="32"/>
    </w:rPr>
  </w:style>
  <w:style w:type="character" w:customStyle="1" w:styleId="style4098">
    <w:name w:val="Heading 2 Char_3f6a1b91-878b-4f13-8f09-b0a30cb72088"/>
    <w:basedOn w:val="style65"/>
    <w:next w:val="style4098"/>
    <w:link w:val="style2"/>
    <w:uiPriority w:val="9"/>
    <w:rPr>
      <w:rFonts w:ascii="Cambria" w:cs="宋体" w:eastAsia="宋体" w:hAnsi="Cambria"/>
      <w:b/>
      <w:bCs/>
      <w:i/>
      <w:iCs/>
      <w:sz w:val="28"/>
      <w:szCs w:val="28"/>
    </w:rPr>
  </w:style>
  <w:style w:type="character" w:customStyle="1" w:styleId="style4099">
    <w:name w:val="Heading 3 Char_eb9f595f-f1ea-4f9a-9b11-6d9a5041ad25"/>
    <w:basedOn w:val="style65"/>
    <w:next w:val="style4099"/>
    <w:link w:val="style3"/>
    <w:uiPriority w:val="9"/>
    <w:rPr>
      <w:rFonts w:ascii="Cambria" w:cs="宋体" w:eastAsia="宋体" w:hAnsi="Cambria"/>
      <w:b/>
      <w:bCs/>
      <w:sz w:val="26"/>
      <w:szCs w:val="26"/>
    </w:rPr>
  </w:style>
  <w:style w:type="character" w:customStyle="1" w:styleId="style4100">
    <w:name w:val="Heading 4 Char_b10d8195-2009-4a87-943a-6a9ccf497369"/>
    <w:basedOn w:val="style65"/>
    <w:next w:val="style4100"/>
    <w:link w:val="style4"/>
    <w:uiPriority w:val="9"/>
    <w:rPr>
      <w:rFonts w:ascii="Calibri" w:cs="宋体" w:eastAsia="宋体" w:hAnsi="Calibri"/>
      <w:b/>
      <w:bCs/>
      <w:sz w:val="28"/>
      <w:szCs w:val="28"/>
    </w:rPr>
  </w:style>
  <w:style w:type="character" w:customStyle="1" w:styleId="style4101">
    <w:name w:val="Heading 5 Char_6078f4f1-8e1b-4bc6-aeea-d2d9489e26cd"/>
    <w:basedOn w:val="style65"/>
    <w:next w:val="style4101"/>
    <w:link w:val="style5"/>
    <w:uiPriority w:val="9"/>
    <w:rPr>
      <w:rFonts w:ascii="Calibri" w:cs="宋体" w:eastAsia="宋体" w:hAnsi="Calibri"/>
      <w:b/>
      <w:bCs/>
      <w:i/>
      <w:iCs/>
      <w:sz w:val="26"/>
      <w:szCs w:val="26"/>
    </w:rPr>
  </w:style>
  <w:style w:type="character" w:customStyle="1" w:styleId="style4102">
    <w:name w:val="Heading 6 Char_c0ebe6fd-1f0c-4a13-abd6-8441032638f4"/>
    <w:basedOn w:val="style65"/>
    <w:next w:val="style4102"/>
    <w:link w:val="style6"/>
    <w:rPr>
      <w:b/>
      <w:bCs/>
      <w:sz w:val="22"/>
      <w:szCs w:val="22"/>
    </w:rPr>
  </w:style>
  <w:style w:type="character" w:customStyle="1" w:styleId="style4103">
    <w:name w:val="Heading 7 Char_ea84c556-6f90-457d-a9a0-7e60e00ca496"/>
    <w:basedOn w:val="style65"/>
    <w:next w:val="style4103"/>
    <w:link w:val="style7"/>
    <w:uiPriority w:val="9"/>
    <w:rPr>
      <w:rFonts w:ascii="Calibri" w:cs="宋体" w:eastAsia="宋体" w:hAnsi="Calibri"/>
      <w:sz w:val="24"/>
      <w:szCs w:val="24"/>
    </w:rPr>
  </w:style>
  <w:style w:type="character" w:customStyle="1" w:styleId="style4104">
    <w:name w:val="Heading 8 Char_147d71a9-c8fd-4294-bed3-f0df8ded7370"/>
    <w:basedOn w:val="style65"/>
    <w:next w:val="style4104"/>
    <w:link w:val="style8"/>
    <w:uiPriority w:val="9"/>
    <w:rPr>
      <w:rFonts w:ascii="Calibri" w:cs="宋体" w:eastAsia="宋体" w:hAnsi="Calibri"/>
      <w:i/>
      <w:iCs/>
      <w:sz w:val="24"/>
      <w:szCs w:val="24"/>
    </w:rPr>
  </w:style>
  <w:style w:type="character" w:customStyle="1" w:styleId="style4105">
    <w:name w:val="Heading 9 Char_74495f76-e291-4992-9d7b-7650f5906c74"/>
    <w:basedOn w:val="style65"/>
    <w:next w:val="style4105"/>
    <w:link w:val="style9"/>
    <w:uiPriority w:val="9"/>
    <w:rPr>
      <w:rFonts w:ascii="Cambria" w:cs="宋体" w:eastAsia="宋体" w:hAnsi="Cambria"/>
      <w:sz w:val="22"/>
      <w:szCs w:val="22"/>
    </w:rPr>
  </w:style>
  <w:style w:type="paragraph" w:styleId="style31">
    <w:name w:val="header"/>
    <w:basedOn w:val="style0"/>
    <w:next w:val="style31"/>
    <w:link w:val="style4106"/>
    <w:uiPriority w:val="99"/>
    <w:pPr>
      <w:tabs>
        <w:tab w:val="center" w:leader="none" w:pos="4680"/>
        <w:tab w:val="right" w:leader="none" w:pos="9360"/>
      </w:tabs>
    </w:pPr>
    <w:rPr/>
  </w:style>
  <w:style w:type="character" w:customStyle="1" w:styleId="style4106">
    <w:name w:val="Header Char_f01670e4-3b28-465b-8eec-94d4558d6f2d"/>
    <w:basedOn w:val="style65"/>
    <w:next w:val="style4106"/>
    <w:link w:val="style31"/>
    <w:uiPriority w:val="99"/>
  </w:style>
  <w:style w:type="paragraph" w:styleId="style32">
    <w:name w:val="footer"/>
    <w:basedOn w:val="style0"/>
    <w:next w:val="style32"/>
    <w:link w:val="style4107"/>
    <w:uiPriority w:val="99"/>
    <w:pPr>
      <w:tabs>
        <w:tab w:val="center" w:leader="none" w:pos="4680"/>
        <w:tab w:val="right" w:leader="none" w:pos="9360"/>
      </w:tabs>
    </w:pPr>
    <w:rPr/>
  </w:style>
  <w:style w:type="character" w:customStyle="1" w:styleId="style4107">
    <w:name w:val="Footer Char_8f906501-d1dd-4e97-ae6f-fac2d33211e4"/>
    <w:basedOn w:val="style65"/>
    <w:next w:val="style4107"/>
    <w:link w:val="style32"/>
    <w:uiPriority w:val="99"/>
  </w:style>
  <w:style w:type="paragraph" w:styleId="style179">
    <w:name w:val="List Paragraph"/>
    <w:basedOn w:val="style0"/>
    <w:next w:val="style179"/>
    <w:link w:val="style4112"/>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pPr>
    <w:rPr>
      <w:sz w:val="24"/>
      <w:szCs w:val="24"/>
    </w:rPr>
  </w:style>
  <w:style w:type="paragraph" w:styleId="style101">
    <w:name w:val="HTML Preformatted"/>
    <w:basedOn w:val="style0"/>
    <w:next w:val="style101"/>
    <w:link w:val="style4108"/>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New" w:cs="Courier New" w:hAnsi="Courier New"/>
      <w:lang w:val="en-GB" w:eastAsia="en-GB"/>
    </w:rPr>
  </w:style>
  <w:style w:type="character" w:customStyle="1" w:styleId="style4108">
    <w:name w:val="HTML Preformatted Char"/>
    <w:basedOn w:val="style65"/>
    <w:next w:val="style4108"/>
    <w:link w:val="style101"/>
    <w:uiPriority w:val="99"/>
    <w:rPr>
      <w:rFonts w:ascii="Courier New" w:cs="Courier New" w:hAnsi="Courier New"/>
      <w:lang w:val="en-GB" w:eastAsia="en-GB"/>
    </w:rPr>
  </w:style>
  <w:style w:type="paragraph" w:styleId="style153">
    <w:name w:val="Balloon Text"/>
    <w:basedOn w:val="style0"/>
    <w:next w:val="style153"/>
    <w:link w:val="style4109"/>
    <w:uiPriority w:val="99"/>
    <w:pPr/>
    <w:rPr>
      <w:rFonts w:ascii="Tahoma" w:cs="Tahoma" w:hAnsi="Tahoma"/>
      <w:sz w:val="16"/>
      <w:szCs w:val="16"/>
    </w:rPr>
  </w:style>
  <w:style w:type="character" w:customStyle="1" w:styleId="style4109">
    <w:name w:val="Balloon Text Char"/>
    <w:basedOn w:val="style65"/>
    <w:next w:val="style4109"/>
    <w:link w:val="style153"/>
    <w:uiPriority w:val="99"/>
    <w:rPr>
      <w:rFonts w:ascii="Tahoma" w:cs="Tahoma" w:hAnsi="Tahoma"/>
      <w:sz w:val="16"/>
      <w:szCs w:val="16"/>
    </w:rPr>
  </w:style>
  <w:style w:type="paragraph" w:styleId="style29">
    <w:name w:val="footnote text"/>
    <w:basedOn w:val="style0"/>
    <w:next w:val="style29"/>
    <w:link w:val="style4110"/>
    <w:uiPriority w:val="99"/>
    <w:pPr/>
  </w:style>
  <w:style w:type="character" w:customStyle="1" w:styleId="style4110">
    <w:name w:val="Footnote Text Char"/>
    <w:basedOn w:val="style65"/>
    <w:next w:val="style4110"/>
    <w:link w:val="style29"/>
    <w:uiPriority w:val="99"/>
  </w:style>
  <w:style w:type="character" w:styleId="style38">
    <w:name w:val="footnote reference"/>
    <w:next w:val="style38"/>
    <w:uiPriority w:val="99"/>
    <w:rPr>
      <w:rFonts w:cs="Times New Roman"/>
      <w:vertAlign w:val="superscript"/>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paragraph" w:customStyle="1" w:styleId="style4111">
    <w:name w:val="Style1"/>
    <w:basedOn w:val="style179"/>
    <w:next w:val="style4111"/>
    <w:link w:val="style4113"/>
    <w:qFormat/>
    <w:pPr>
      <w:numPr>
        <w:ilvl w:val="0"/>
        <w:numId w:val="2"/>
      </w:numPr>
      <w:spacing w:after="150"/>
      <w:ind w:left="284" w:hanging="284"/>
    </w:pPr>
    <w:rPr>
      <w:rFonts w:ascii="Arial" w:cs="Arial" w:hAnsi="Arial"/>
      <w:iCs/>
      <w:color w:val="3c763d"/>
      <w:sz w:val="21"/>
      <w:szCs w:val="21"/>
      <w:lang w:val="en-GB" w:eastAsia="en-GB"/>
    </w:rPr>
  </w:style>
  <w:style w:type="character" w:customStyle="1" w:styleId="style4112">
    <w:name w:val="List Paragraph Char"/>
    <w:basedOn w:val="style65"/>
    <w:next w:val="style4112"/>
    <w:link w:val="style179"/>
    <w:uiPriority w:val="34"/>
  </w:style>
  <w:style w:type="character" w:customStyle="1" w:styleId="style4113">
    <w:name w:val="Style1 Char"/>
    <w:basedOn w:val="style4112"/>
    <w:next w:val="style4113"/>
    <w:link w:val="style4111"/>
    <w:rPr>
      <w:rFonts w:ascii="Arial" w:cs="Arial" w:hAnsi="Arial"/>
      <w:iCs/>
      <w:color w:val="3c763d"/>
      <w:sz w:val="21"/>
      <w:szCs w:val="21"/>
      <w:lang w:val="en-GB" w:eastAsia="en-GB"/>
    </w:rPr>
  </w:style>
  <w:style w:type="table" w:styleId="style182">
    <w:name w:val="Medium List 2 Accent 1"/>
    <w:basedOn w:val="style105"/>
    <w:next w:val="style182"/>
    <w:uiPriority w:val="66"/>
    <w:pPr/>
    <w:rPr>
      <w:rFonts w:ascii="Cambria" w:cs="宋体" w:eastAsia="宋体" w:hAnsi="Cambria"/>
      <w:color w:val="000000"/>
      <w:sz w:val="22"/>
      <w:szCs w:val="22"/>
      <w:lang w:eastAsia="ja-JP"/>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1">
    <w:name w:val="Medium List 1 Accent 6"/>
    <w:basedOn w:val="style105"/>
    <w:next w:val="style251"/>
    <w:uiPriority w:val="65"/>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mbria" w:cs="宋体" w:eastAsia="宋体" w:hAnsi="Cambria"/>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247">
    <w:name w:val="Light List Accent 6"/>
    <w:basedOn w:val="style105"/>
    <w:next w:val="style247"/>
    <w:uiPriority w:val="61"/>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206">
    <w:name w:val="Light Grid Accent 3"/>
    <w:basedOn w:val="style105"/>
    <w:next w:val="style206"/>
    <w:uiPriority w:val="62"/>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mbria" w:cs="宋体" w:eastAsia="宋体" w:hAnsi="Cambr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mbria" w:cs="宋体" w:eastAsia="宋体" w:hAnsi="Cambr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mbria" w:cs="宋体" w:eastAsia="宋体" w:hAnsi="Cambria"/>
        <w:b/>
        <w:bCs/>
      </w:rPr>
      <w:tcPr>
        <w:tcBorders/>
      </w:tcPr>
    </w:tblStylePr>
    <w:tblStylePr w:type="lastCol">
      <w:pPr/>
      <w:rPr>
        <w:rFonts w:ascii="Cambria" w:cs="宋体" w:eastAsia="宋体" w:hAnsi="Cambria"/>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04">
    <w:name w:val="Light Shading Accent 3"/>
    <w:basedOn w:val="style105"/>
    <w:next w:val="style204"/>
    <w:uiPriority w:val="6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172">
    <w:name w:val="Light Shading Accent 1"/>
    <w:basedOn w:val="style105"/>
    <w:next w:val="style172"/>
    <w:uiPriority w:val="6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238">
    <w:name w:val="Medium List 2 Accent 5"/>
    <w:basedOn w:val="style105"/>
    <w:next w:val="style238"/>
    <w:uiPriority w:val="66"/>
    <w:pPr/>
    <w:rPr>
      <w:rFonts w:ascii="Cambria" w:cs="宋体" w:eastAsia="宋体"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46">
    <w:name w:val="Light Shading Accent 6"/>
    <w:basedOn w:val="style105"/>
    <w:next w:val="style246"/>
    <w:uiPriority w:val="6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218">
    <w:name w:val="Light Shading Accent 4"/>
    <w:basedOn w:val="style105"/>
    <w:next w:val="style218"/>
    <w:uiPriority w:val="6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paragraph" w:customStyle="1" w:styleId="style4114">
    <w:name w:val="Default"/>
    <w:next w:val="style4114"/>
    <w:pPr>
      <w:autoSpaceDE w:val="false"/>
      <w:autoSpaceDN w:val="false"/>
      <w:adjustRightInd w:val="false"/>
    </w:pPr>
    <w:rPr>
      <w:color w:val="000000"/>
      <w:sz w:val="24"/>
      <w:szCs w:val="24"/>
      <w:lang w:val="id-ID" w:eastAsia="id-ID"/>
    </w:rPr>
  </w:style>
  <w:style w:type="paragraph" w:styleId="style157">
    <w:name w:val="No Spacing"/>
    <w:next w:val="style157"/>
    <w:link w:val="style4115"/>
    <w:qFormat/>
    <w:uiPriority w:val="1"/>
    <w:pPr/>
    <w:rPr>
      <w:rFonts w:ascii="Calibri" w:hAnsi="Calibri"/>
      <w:sz w:val="22"/>
      <w:szCs w:val="22"/>
    </w:rPr>
  </w:style>
  <w:style w:type="character" w:customStyle="1" w:styleId="style4115">
    <w:name w:val="No Spacing Char"/>
    <w:next w:val="style4115"/>
    <w:link w:val="style157"/>
    <w:uiPriority w:val="1"/>
    <w:rPr>
      <w:rFonts w:ascii="Calibri" w:hAnsi="Calibri"/>
      <w:sz w:val="22"/>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image" Target="media/image1.emf"/><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header" Target="header3.xml"/><Relationship Id="rId6" Type="http://schemas.openxmlformats.org/officeDocument/2006/relationships/footnotes" Target="footnotes.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9252D-884A-4DEF-9F1C-8465BC13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Words>9891</Words>
  <Pages>22</Pages>
  <Characters>67315</Characters>
  <Application>WPS Office</Application>
  <DocSecurity>0</DocSecurity>
  <Paragraphs>504</Paragraphs>
  <ScaleCrop>false</ScaleCrop>
  <Company>HP</Company>
  <LinksUpToDate>false</LinksUpToDate>
  <CharactersWithSpaces>77352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2021-04-09T12:30:00Z</dcterms:created>
  <dc:creator>Sisfo</dc:creator>
  <lastModifiedBy>CPH2015</lastModifiedBy>
  <dcterms:modified xsi:type="dcterms:W3CDTF">2021-04-11T13:36:25Z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Style (author-date)</vt:lpwstr>
  </property>
  <property fmtid="{D5CDD505-2E9C-101B-9397-08002B2CF9AE}" pid="22" name="Mendeley Document_1">
    <vt:lpwstr>True</vt:lpwstr>
  </property>
  <property fmtid="{D5CDD505-2E9C-101B-9397-08002B2CF9AE}" pid="23" name="Mendeley Unique User Id_1">
    <vt:lpwstr>ed185f17-ec37-3adf-9412-034b6f95fcb2</vt:lpwstr>
  </property>
  <property fmtid="{D5CDD505-2E9C-101B-9397-08002B2CF9AE}" pid="24" name="Mendeley Citation Style_1">
    <vt:lpwstr>http://www.zotero.org/styles/turabian-fullnote-bibliography</vt:lpwstr>
  </property>
</Properties>
</file>